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FA" w:rsidRPr="004A3948" w:rsidRDefault="00CA36FA" w:rsidP="006F328A">
      <w:pPr>
        <w:rPr>
          <w:rFonts w:ascii="黑体" w:eastAsia="黑体" w:hAnsi="黑体"/>
          <w:sz w:val="32"/>
          <w:szCs w:val="32"/>
        </w:rPr>
      </w:pPr>
      <w:r w:rsidRPr="004A3948">
        <w:rPr>
          <w:rFonts w:ascii="黑体" w:eastAsia="黑体" w:hAnsi="黑体" w:hint="eastAsia"/>
          <w:sz w:val="32"/>
          <w:szCs w:val="32"/>
        </w:rPr>
        <w:t>附件2</w:t>
      </w:r>
    </w:p>
    <w:p w:rsidR="00CA36FA" w:rsidRDefault="00CA36FA" w:rsidP="006F328A"/>
    <w:p w:rsidR="00CA36FA" w:rsidRPr="004E4CCC" w:rsidRDefault="00CA36FA" w:rsidP="004A3948">
      <w:pPr>
        <w:jc w:val="center"/>
        <w:rPr>
          <w:rFonts w:ascii="方正小标宋简体" w:eastAsia="方正小标宋简体"/>
          <w:sz w:val="44"/>
          <w:szCs w:val="44"/>
        </w:rPr>
      </w:pPr>
      <w:r w:rsidRPr="004E4CCC">
        <w:rPr>
          <w:rFonts w:ascii="方正小标宋简体" w:eastAsia="方正小标宋简体" w:hAnsi="仿宋" w:hint="eastAsia"/>
          <w:sz w:val="44"/>
          <w:szCs w:val="44"/>
        </w:rPr>
        <w:t>直达资金监控业务操作流程图</w:t>
      </w:r>
    </w:p>
    <w:p w:rsidR="004A3948" w:rsidRDefault="004A3948" w:rsidP="006F328A">
      <w:pPr>
        <w:rPr>
          <w:rFonts w:hint="eastAsia"/>
        </w:rPr>
      </w:pPr>
    </w:p>
    <w:p w:rsidR="00CA36FA" w:rsidRDefault="009E5D9E" w:rsidP="006F328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9.5pt;margin-top:13.35pt;width:0;height:50.55pt;z-index:251673600" o:connectortype="straight">
            <v:stroke endarrow="block"/>
          </v:shape>
        </w:pict>
      </w:r>
    </w:p>
    <w:p w:rsidR="00CA36FA" w:rsidRDefault="00CA36FA" w:rsidP="006F328A">
      <w:r>
        <w:rPr>
          <w:rFonts w:hint="eastAsia"/>
        </w:rPr>
        <w:t xml:space="preserve">             </w:t>
      </w:r>
    </w:p>
    <w:p w:rsidR="00CA36FA" w:rsidRDefault="00CA36FA" w:rsidP="006F328A">
      <w:r>
        <w:rPr>
          <w:rFonts w:hint="eastAsia"/>
        </w:rPr>
        <w:t xml:space="preserve">           </w:t>
      </w:r>
      <w:r>
        <w:rPr>
          <w:rFonts w:hint="eastAsia"/>
        </w:rPr>
        <w:t>上级下达指标</w:t>
      </w:r>
      <w:r>
        <w:rPr>
          <w:rFonts w:hint="eastAsia"/>
        </w:rPr>
        <w:t xml:space="preserve">    </w:t>
      </w:r>
    </w:p>
    <w:p w:rsidR="00CA36FA" w:rsidRPr="004E4CCC" w:rsidRDefault="009E5D9E" w:rsidP="006F328A">
      <w:r>
        <w:rPr>
          <w:noProof/>
        </w:rPr>
        <w:pict>
          <v:rect id="_x0000_s1032" style="position:absolute;left:0;text-align:left;margin-left:225.75pt;margin-top:11.1pt;width:205.5pt;height:38.4pt;z-index:251666432">
            <v:textbox style="mso-next-textbox:#_x0000_s1032">
              <w:txbxContent>
                <w:p w:rsidR="00CA36FA" w:rsidRDefault="00CA36FA" w:rsidP="004E4CCC">
                  <w:pPr>
                    <w:ind w:firstLineChars="650" w:firstLine="1365"/>
                  </w:pPr>
                  <w:r>
                    <w:rPr>
                      <w:rFonts w:hint="eastAsia"/>
                    </w:rPr>
                    <w:t>预算股登记</w:t>
                  </w:r>
                </w:p>
                <w:p w:rsidR="00CA36FA" w:rsidRDefault="00CA36FA" w:rsidP="004E4CCC">
                  <w:pPr>
                    <w:jc w:val="center"/>
                  </w:pPr>
                  <w:r>
                    <w:rPr>
                      <w:rFonts w:hint="eastAsia"/>
                    </w:rPr>
                    <w:t>（县级对应中央直达资金安排的资金）</w:t>
                  </w:r>
                </w:p>
                <w:p w:rsidR="00CA36FA" w:rsidRPr="004E4CCC" w:rsidRDefault="00CA36FA" w:rsidP="004E4CCC">
                  <w:pPr>
                    <w:ind w:firstLineChars="350" w:firstLine="735"/>
                  </w:pPr>
                </w:p>
                <w:p w:rsidR="00CA36FA" w:rsidRPr="004E4CCC" w:rsidRDefault="00CA36FA" w:rsidP="004E4CCC">
                  <w:pPr>
                    <w:ind w:firstLineChars="350" w:firstLine="735"/>
                  </w:pPr>
                </w:p>
              </w:txbxContent>
            </v:textbox>
          </v:rect>
        </w:pict>
      </w:r>
      <w:r w:rsidR="00CA36FA">
        <w:rPr>
          <w:rFonts w:hint="eastAsia"/>
        </w:rPr>
        <w:t xml:space="preserve">          </w:t>
      </w:r>
    </w:p>
    <w:p w:rsidR="00CA36FA" w:rsidRDefault="009E5D9E" w:rsidP="006F328A">
      <w:r>
        <w:rPr>
          <w:noProof/>
        </w:rPr>
        <w:pict>
          <v:rect id="_x0000_s1031" style="position:absolute;left:0;text-align:left;margin-left:-24.75pt;margin-top:1.5pt;width:152.25pt;height:32.4pt;z-index:251658240">
            <v:textbox style="mso-next-textbox:#_x0000_s1031">
              <w:txbxContent>
                <w:p w:rsidR="00CA36FA" w:rsidRDefault="00CA36FA" w:rsidP="00DD6003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预算股对账后导入监控系统</w:t>
                  </w:r>
                </w:p>
              </w:txbxContent>
            </v:textbox>
          </v:rect>
        </w:pict>
      </w:r>
    </w:p>
    <w:p w:rsidR="00CA36FA" w:rsidRDefault="00CA36FA" w:rsidP="006F328A"/>
    <w:p w:rsidR="00CA36FA" w:rsidRDefault="009E5D9E" w:rsidP="006F328A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left:0;text-align:left;margin-left:33.5pt;margin-top:18.7pt;width:78.45pt;height:46.5pt;rotation:90;flip:x;z-index:251668480" o:connectortype="elbow" adj="21723,78178,-38409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91.25pt;margin-top:2.7pt;width:166.5pt;height:65.7pt;flip:x;z-index:251667456" o:connectortype="straight">
            <v:stroke endarrow="block"/>
          </v:shape>
        </w:pict>
      </w:r>
    </w:p>
    <w:p w:rsidR="00CA36FA" w:rsidRDefault="00CA36FA" w:rsidP="006F328A"/>
    <w:p w:rsidR="00CA36FA" w:rsidRDefault="00CA36FA" w:rsidP="006F328A">
      <w:r>
        <w:rPr>
          <w:rFonts w:hint="eastAsia"/>
        </w:rPr>
        <w:t xml:space="preserve">                              </w:t>
      </w:r>
    </w:p>
    <w:p w:rsidR="00CA36FA" w:rsidRDefault="00CA36FA" w:rsidP="006F328A">
      <w:r>
        <w:rPr>
          <w:rFonts w:hint="eastAsia"/>
        </w:rPr>
        <w:t xml:space="preserve">    </w:t>
      </w:r>
    </w:p>
    <w:p w:rsidR="00CA36FA" w:rsidRDefault="009E5D9E" w:rsidP="006F328A">
      <w:r>
        <w:rPr>
          <w:noProof/>
        </w:rPr>
        <w:pict>
          <v:shape id="_x0000_s1038" type="#_x0000_t34" style="position:absolute;left:0;text-align:left;margin-left:256.9pt;margin-top:161pt;width:90pt;height:32.25pt;rotation:90;flip:x;z-index:251672576" o:connectortype="elbow" adj="11,314355,-90180">
            <v:stroke endarrow="block"/>
          </v:shape>
        </w:pict>
      </w:r>
      <w:r>
        <w:rPr>
          <w:noProof/>
        </w:rPr>
        <w:pict>
          <v:shape id="_x0000_s1037" type="#_x0000_t34" style="position:absolute;left:0;text-align:left;margin-left:243pt;margin-top:130.65pt;width:134.25pt;height:48.75pt;rotation:90;flip:x;z-index:251671552" o:connectortype="elbow" adj="-57,137243,-60456">
            <v:stroke endarrow="block"/>
          </v:shape>
        </w:pict>
      </w:r>
      <w:r>
        <w:rPr>
          <w:noProof/>
        </w:rPr>
        <w:pict>
          <v:shape id="_x0000_s1036" type="#_x0000_t34" style="position:absolute;left:0;text-align:left;margin-left:221.1pt;margin-top:92.3pt;width:197.25pt;height:62.5pt;rotation:90;flip:x;z-index:251670528" o:connectortype="elbow" adj="32,85277,-41448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191.25pt;margin-top:155.25pt;width:.1pt;height:13.05pt;z-index:25167667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91.25pt;margin-top:102.75pt;width:0;height:14.55pt;z-index:251663360" o:connectortype="straight">
            <v:stroke endarrow="block"/>
          </v:shape>
        </w:pict>
      </w:r>
      <w:r>
        <w:pict>
          <v:rect id="_x0000_s1028" style="position:absolute;left:0;text-align:left;margin-left:96pt;margin-top:117.3pt;width:189.75pt;height:37.95pt;z-index:251662336">
            <v:textbox style="mso-next-textbox:#_x0000_s1028">
              <w:txbxContent>
                <w:p w:rsidR="00CA36FA" w:rsidRDefault="00CA36FA">
                  <w:r>
                    <w:rPr>
                      <w:rFonts w:hint="eastAsia"/>
                    </w:rPr>
                    <w:t>预算部门将惠企利民补助发放信息导入监控系统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96pt;margin-top:168.3pt;width:189.75pt;height:37.95pt;z-index:251675648">
            <v:textbox style="mso-next-textbox:#_x0000_s1041">
              <w:txbxContent>
                <w:p w:rsidR="00CA36FA" w:rsidRDefault="00CA36FA" w:rsidP="00BA2F45">
                  <w:r>
                    <w:rPr>
                      <w:rFonts w:hint="eastAsia"/>
                    </w:rPr>
                    <w:t>业务股室定期在线监控资金实际支付和预警情况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left:0;text-align:left;margin-left:191.25pt;margin-top:41.85pt;width:.1pt;height:19.35pt;z-index:251674624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248.25pt;margin-top:222.15pt;width:189.75pt;height:41.55pt;z-index:251664384">
            <v:textbox style="mso-next-textbox:#_x0000_s1030">
              <w:txbxContent>
                <w:p w:rsidR="00CA36FA" w:rsidRDefault="00CA36FA" w:rsidP="008E780F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监控系统自动</w:t>
                  </w:r>
                  <w:proofErr w:type="gramStart"/>
                  <w:r>
                    <w:rPr>
                      <w:rFonts w:hint="eastAsia"/>
                    </w:rPr>
                    <w:t>生成台</w:t>
                  </w:r>
                  <w:proofErr w:type="gramEnd"/>
                  <w:r>
                    <w:rPr>
                      <w:rFonts w:hint="eastAsia"/>
                    </w:rPr>
                    <w:t>账</w:t>
                  </w:r>
                </w:p>
              </w:txbxContent>
            </v:textbox>
          </v:rect>
        </w:pict>
      </w:r>
      <w:r>
        <w:pict>
          <v:rect id="_x0000_s1026" style="position:absolute;left:0;text-align:left;margin-left:96pt;margin-top:6pt;width:189.75pt;height:35.85pt;z-index:251660288">
            <v:textbox style="mso-next-textbox:#_x0000_s1026">
              <w:txbxContent>
                <w:p w:rsidR="00CA36FA" w:rsidRDefault="00CA36FA">
                  <w:r>
                    <w:rPr>
                      <w:rFonts w:hint="eastAsia"/>
                    </w:rPr>
                    <w:t>业务股室将指标分解下达到单位、项目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96pt;margin-top:61.2pt;width:189.75pt;height:41.55pt;z-index:251661312">
            <v:textbox style="mso-next-textbox:#_x0000_s1027">
              <w:txbxContent>
                <w:p w:rsidR="00CA36FA" w:rsidRDefault="00CA36FA">
                  <w:r>
                    <w:rPr>
                      <w:rFonts w:hint="eastAsia"/>
                    </w:rPr>
                    <w:t>单位支付后业务股室将支付信息导入监控系统</w:t>
                  </w:r>
                </w:p>
              </w:txbxContent>
            </v:textbox>
          </v:rect>
        </w:pict>
      </w:r>
      <w:r w:rsidR="00CA36FA">
        <w:tab/>
      </w:r>
    </w:p>
    <w:p w:rsidR="00CA36FA" w:rsidRPr="008B3138" w:rsidRDefault="00CA36FA" w:rsidP="006F328A"/>
    <w:p w:rsidR="00CA36FA" w:rsidRPr="008B3138" w:rsidRDefault="00CA36FA" w:rsidP="006F328A"/>
    <w:p w:rsidR="00CA36FA" w:rsidRPr="008B3138" w:rsidRDefault="00CA36FA" w:rsidP="006F328A"/>
    <w:p w:rsidR="00CA36FA" w:rsidRPr="008B3138" w:rsidRDefault="00CA36FA" w:rsidP="006F328A"/>
    <w:p w:rsidR="00CA36FA" w:rsidRPr="008B3138" w:rsidRDefault="00CA36FA" w:rsidP="006F328A"/>
    <w:p w:rsidR="00CA36FA" w:rsidRPr="008B3138" w:rsidRDefault="00CA36FA" w:rsidP="006F328A"/>
    <w:p w:rsidR="00CA36FA" w:rsidRPr="008B3138" w:rsidRDefault="00CA36FA" w:rsidP="006F328A"/>
    <w:p w:rsidR="00CA36FA" w:rsidRPr="008B3138" w:rsidRDefault="00CA36FA" w:rsidP="006F328A"/>
    <w:p w:rsidR="00CA36FA" w:rsidRPr="008B3138" w:rsidRDefault="00CA36FA" w:rsidP="006F328A"/>
    <w:p w:rsidR="00CA36FA" w:rsidRPr="008B3138" w:rsidRDefault="00CA36FA" w:rsidP="006F328A"/>
    <w:p w:rsidR="00CA36FA" w:rsidRPr="008B3138" w:rsidRDefault="009E5D9E" w:rsidP="006F328A">
      <w:r>
        <w:rPr>
          <w:noProof/>
        </w:rPr>
        <w:pict>
          <v:shape id="_x0000_s1035" type="#_x0000_t32" style="position:absolute;left:0;text-align:left;margin-left:49.5pt;margin-top:50.55pt;width:.05pt;height:0;z-index:251669504" o:connectortype="straight">
            <v:stroke endarrow="block"/>
          </v:shape>
        </w:pict>
      </w:r>
    </w:p>
    <w:p w:rsidR="00991069" w:rsidRDefault="00991069" w:rsidP="00E64475"/>
    <w:sectPr w:rsidR="00991069" w:rsidSect="009E5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13" w:rsidRDefault="007C2A13" w:rsidP="006F328A">
      <w:r>
        <w:separator/>
      </w:r>
    </w:p>
  </w:endnote>
  <w:endnote w:type="continuationSeparator" w:id="0">
    <w:p w:rsidR="007C2A13" w:rsidRDefault="007C2A13" w:rsidP="006F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13" w:rsidRDefault="007C2A13" w:rsidP="006F328A">
      <w:r>
        <w:separator/>
      </w:r>
    </w:p>
  </w:footnote>
  <w:footnote w:type="continuationSeparator" w:id="0">
    <w:p w:rsidR="007C2A13" w:rsidRDefault="007C2A13" w:rsidP="006F3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6FA"/>
    <w:rsid w:val="004A3948"/>
    <w:rsid w:val="006F328A"/>
    <w:rsid w:val="007C2A13"/>
    <w:rsid w:val="00991069"/>
    <w:rsid w:val="009E5D9E"/>
    <w:rsid w:val="00CA36FA"/>
    <w:rsid w:val="00E6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2"/>
        <o:r id="V:Rule12" type="connector" idref="#_x0000_s1037"/>
        <o:r id="V:Rule13" type="connector" idref="#_x0000_s1040"/>
        <o:r id="V:Rule14" type="connector" idref="#_x0000_s1038"/>
        <o:r id="V:Rule15" type="connector" idref="#_x0000_s1034"/>
        <o:r id="V:Rule16" type="connector" idref="#_x0000_s1036"/>
        <o:r id="V:Rule17" type="connector" idref="#_x0000_s1029"/>
        <o:r id="V:Rule18" type="connector" idref="#_x0000_s1039"/>
        <o:r id="V:Rule19" type="connector" idref="#_x0000_s1035"/>
        <o:r id="V:Rule2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3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36F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6F3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2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2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2021-04-20T09:14:00Z</dcterms:created>
  <dcterms:modified xsi:type="dcterms:W3CDTF">2021-04-20T09:23:00Z</dcterms:modified>
</cp:coreProperties>
</file>