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Times New Roman" w:hAnsi="Times New Roman" w:eastAsia="宋体" w:cs="Times New Roman"/>
          <w:b/>
          <w:bCs w:val="0"/>
          <w:kern w:val="2"/>
          <w:sz w:val="44"/>
          <w:szCs w:val="44"/>
          <w:lang w:val="en-US" w:eastAsia="zh-CN" w:bidi="ar-SA"/>
        </w:rPr>
      </w:pPr>
      <w:r>
        <w:rPr>
          <w:rFonts w:hint="eastAsia" w:ascii="Times New Roman" w:hAnsi="Times New Roman" w:eastAsia="宋体" w:cs="Times New Roman"/>
          <w:b/>
          <w:bCs w:val="0"/>
          <w:kern w:val="2"/>
          <w:sz w:val="44"/>
          <w:szCs w:val="44"/>
          <w:lang w:val="en-US" w:eastAsia="zh-CN" w:bidi="ar-SA"/>
        </w:rPr>
        <w:t>202</w:t>
      </w:r>
      <w:r>
        <w:rPr>
          <w:rFonts w:hint="eastAsia" w:ascii="Times New Roman" w:hAnsi="Times New Roman" w:cs="Times New Roman"/>
          <w:b/>
          <w:bCs w:val="0"/>
          <w:kern w:val="2"/>
          <w:sz w:val="44"/>
          <w:szCs w:val="44"/>
          <w:lang w:val="en-US" w:eastAsia="zh-CN" w:bidi="ar-SA"/>
        </w:rPr>
        <w:t>4</w:t>
      </w:r>
      <w:r>
        <w:rPr>
          <w:rFonts w:hint="eastAsia" w:ascii="Times New Roman" w:hAnsi="Times New Roman" w:eastAsia="宋体" w:cs="Times New Roman"/>
          <w:b/>
          <w:bCs w:val="0"/>
          <w:kern w:val="2"/>
          <w:sz w:val="44"/>
          <w:szCs w:val="44"/>
          <w:lang w:val="en-US" w:eastAsia="zh-CN" w:bidi="ar-SA"/>
        </w:rPr>
        <w:t>年永春县</w:t>
      </w:r>
      <w:r>
        <w:rPr>
          <w:rFonts w:hint="eastAsia" w:ascii="Times New Roman" w:hAnsi="Times New Roman" w:cs="Times New Roman"/>
          <w:b/>
          <w:bCs w:val="0"/>
          <w:kern w:val="2"/>
          <w:sz w:val="44"/>
          <w:szCs w:val="44"/>
          <w:lang w:val="en-US" w:eastAsia="zh-CN" w:bidi="ar-SA"/>
        </w:rPr>
        <w:t>第二批</w:t>
      </w:r>
      <w:r>
        <w:rPr>
          <w:rFonts w:hint="eastAsia" w:ascii="Times New Roman" w:hAnsi="Times New Roman" w:eastAsia="宋体" w:cs="Times New Roman"/>
          <w:b/>
          <w:bCs w:val="0"/>
          <w:kern w:val="2"/>
          <w:sz w:val="44"/>
          <w:szCs w:val="44"/>
          <w:lang w:val="en-US" w:eastAsia="zh-CN" w:bidi="ar-SA"/>
        </w:rPr>
        <w:t>中小学校近视防控教室</w:t>
      </w:r>
    </w:p>
    <w:p>
      <w:pPr>
        <w:pStyle w:val="10"/>
        <w:rPr>
          <w:rFonts w:hint="eastAsia" w:ascii="Times New Roman" w:hAnsi="Times New Roman" w:eastAsia="宋体" w:cs="Times New Roman"/>
          <w:b/>
          <w:bCs w:val="0"/>
          <w:kern w:val="2"/>
          <w:sz w:val="44"/>
          <w:szCs w:val="44"/>
          <w:lang w:val="en-US" w:eastAsia="zh-CN" w:bidi="ar-SA"/>
        </w:rPr>
      </w:pPr>
      <w:r>
        <w:rPr>
          <w:rFonts w:hint="eastAsia" w:ascii="Times New Roman" w:hAnsi="Times New Roman" w:eastAsia="宋体" w:cs="Times New Roman"/>
          <w:b/>
          <w:bCs w:val="0"/>
          <w:kern w:val="2"/>
          <w:sz w:val="44"/>
          <w:szCs w:val="44"/>
          <w:lang w:val="en-US" w:eastAsia="zh-CN" w:bidi="ar-SA"/>
        </w:rPr>
        <w:t>照明改造采购方案</w:t>
      </w:r>
    </w:p>
    <w:p>
      <w:pPr>
        <w:pStyle w:val="9"/>
        <w:widowControl/>
        <w:spacing w:beforeAutospacing="0" w:afterAutospacing="0" w:line="400" w:lineRule="exact"/>
        <w:jc w:val="center"/>
        <w:rPr>
          <w:rStyle w:val="14"/>
          <w:sz w:val="44"/>
          <w:szCs w:val="44"/>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一、采购项目</w:t>
      </w:r>
      <w:bookmarkStart w:id="1" w:name="_GoBack"/>
      <w:bookmarkEnd w:id="1"/>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根据</w:t>
      </w:r>
      <w:bookmarkStart w:id="0" w:name="dispatchname"/>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泉州市教育局 泉州市财政局 泉州市卫生健康委员会 泉州市市场监督管理局关于印发202</w:t>
      </w: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zh-CN" w:bidi="ar-SA"/>
        </w:rPr>
        <w:t>年泉州市中小学校近视防控教室照明改造工程实施方案的通知</w:t>
      </w:r>
      <w:bookmarkEnd w:id="0"/>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泉教体〔202</w:t>
      </w: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2</w:t>
      </w:r>
      <w:r>
        <w:rPr>
          <w:rFonts w:hint="default" w:ascii="仿宋" w:hAnsi="仿宋" w:eastAsia="仿宋" w:cs="Times New Roman"/>
          <w:kern w:val="2"/>
          <w:sz w:val="32"/>
          <w:szCs w:val="32"/>
          <w:lang w:val="en-US" w:eastAsia="zh-CN" w:bidi="ar-SA"/>
        </w:rPr>
        <w:t>号</w:t>
      </w:r>
      <w:r>
        <w:rPr>
          <w:rFonts w:hint="eastAsia" w:ascii="仿宋" w:hAnsi="仿宋" w:eastAsia="仿宋" w:cs="Times New Roman"/>
          <w:kern w:val="2"/>
          <w:sz w:val="32"/>
          <w:szCs w:val="32"/>
          <w:lang w:val="en-US" w:eastAsia="zh-CN" w:bidi="ar-SA"/>
        </w:rPr>
        <w:t>）、《关于印发2024年永春县中小学校近视防控教室照明改造工程实施方案的通知》（永</w:t>
      </w:r>
      <w:r>
        <w:rPr>
          <w:rFonts w:hint="default" w:ascii="仿宋" w:hAnsi="仿宋" w:eastAsia="仿宋" w:cs="Times New Roman"/>
          <w:kern w:val="2"/>
          <w:sz w:val="32"/>
          <w:szCs w:val="32"/>
          <w:lang w:val="en-US" w:eastAsia="zh-CN" w:bidi="ar-SA"/>
        </w:rPr>
        <w:t>教</w:t>
      </w:r>
      <w:r>
        <w:rPr>
          <w:rFonts w:hint="eastAsia" w:ascii="仿宋" w:hAnsi="仿宋" w:eastAsia="仿宋" w:cs="Times New Roman"/>
          <w:kern w:val="2"/>
          <w:sz w:val="32"/>
          <w:szCs w:val="32"/>
          <w:lang w:val="en-US" w:eastAsia="zh-CN" w:bidi="ar-SA"/>
        </w:rPr>
        <w:t>基</w:t>
      </w:r>
      <w:r>
        <w:rPr>
          <w:rFonts w:hint="default" w:ascii="仿宋" w:hAnsi="仿宋" w:eastAsia="仿宋" w:cs="Times New Roman"/>
          <w:kern w:val="2"/>
          <w:sz w:val="32"/>
          <w:szCs w:val="32"/>
          <w:lang w:val="en-US" w:eastAsia="zh-CN" w:bidi="ar-SA"/>
        </w:rPr>
        <w:t>〔202</w:t>
      </w: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zh-CN" w:bidi="ar-SA"/>
        </w:rPr>
        <w:t>〕</w:t>
      </w:r>
      <w:r>
        <w:rPr>
          <w:rFonts w:hint="eastAsia" w:ascii="仿宋" w:hAnsi="仿宋" w:eastAsia="仿宋" w:cs="Times New Roman"/>
          <w:kern w:val="2"/>
          <w:sz w:val="32"/>
          <w:szCs w:val="32"/>
          <w:lang w:val="en-US" w:eastAsia="zh-CN" w:bidi="ar-SA"/>
        </w:rPr>
        <w:t>16</w:t>
      </w:r>
      <w:r>
        <w:rPr>
          <w:rFonts w:hint="default" w:ascii="仿宋" w:hAnsi="仿宋" w:eastAsia="仿宋" w:cs="Times New Roman"/>
          <w:kern w:val="2"/>
          <w:sz w:val="32"/>
          <w:szCs w:val="32"/>
          <w:lang w:val="en-US" w:eastAsia="zh-CN" w:bidi="ar-SA"/>
        </w:rPr>
        <w:t>号</w:t>
      </w:r>
      <w:r>
        <w:rPr>
          <w:rFonts w:hint="eastAsia" w:ascii="仿宋" w:hAnsi="仿宋" w:eastAsia="仿宋" w:cs="Times New Roman"/>
          <w:kern w:val="2"/>
          <w:sz w:val="32"/>
          <w:szCs w:val="32"/>
          <w:lang w:val="en-US" w:eastAsia="zh-CN" w:bidi="ar-SA"/>
        </w:rPr>
        <w:t>）文件，2024年度第二批永春县中小学校近视防控教室照明改造250间，9月30日前完成项目采购签约，10月底100%完成。</w:t>
      </w:r>
    </w:p>
    <w:p>
      <w:pP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项目采购人：永春县教育局</w:t>
      </w:r>
    </w:p>
    <w:p>
      <w:pPr>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二、2024年第二批永春县中小学校近视防控教室照明改造学校分配表</w:t>
      </w:r>
      <w:r>
        <w:rPr>
          <w:rFonts w:hint="eastAsia" w:ascii="仿宋" w:hAnsi="仿宋" w:eastAsia="仿宋" w:cs="Times New Roman"/>
          <w:b/>
          <w:bCs/>
          <w:kern w:val="2"/>
          <w:sz w:val="32"/>
          <w:szCs w:val="32"/>
          <w:lang w:val="en-US" w:eastAsia="zh-CN" w:bidi="ar-SA"/>
        </w:rPr>
        <w:tab/>
      </w:r>
    </w:p>
    <w:tbl>
      <w:tblPr>
        <w:tblStyle w:val="11"/>
        <w:tblW w:w="8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3210"/>
        <w:gridCol w:w="4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495" w:type="dxa"/>
            <w:gridSpan w:val="3"/>
            <w:tcBorders>
              <w:top w:val="nil"/>
              <w:left w:val="nil"/>
              <w:bottom w:val="nil"/>
              <w:right w:val="nil"/>
            </w:tcBorders>
            <w:shd w:val="clear" w:color="auto" w:fill="auto"/>
            <w:vAlign w:val="center"/>
          </w:tcPr>
          <w:p>
            <w:pPr>
              <w:jc w:val="center"/>
              <w:rPr>
                <w:rFonts w:ascii="方正小标宋简体" w:hAnsi="方正小标宋简体" w:eastAsia="方正小标宋简体" w:cs="方正小标宋简体"/>
                <w:i w:val="0"/>
                <w:iCs w:val="0"/>
                <w:color w:val="000000"/>
                <w:sz w:val="40"/>
                <w:szCs w:val="40"/>
                <w:u w:val="none"/>
              </w:rPr>
            </w:pPr>
            <w:r>
              <w:rPr>
                <w:rFonts w:hint="eastAsia" w:ascii="仿宋" w:hAnsi="仿宋" w:eastAsia="仿宋" w:cs="Times New Roman"/>
                <w:b/>
                <w:bCs/>
                <w:kern w:val="2"/>
                <w:sz w:val="30"/>
                <w:szCs w:val="30"/>
                <w:lang w:val="en-US" w:eastAsia="zh-CN" w:bidi="ar-SA"/>
              </w:rPr>
              <w:t>第二批</w:t>
            </w:r>
            <w:r>
              <w:rPr>
                <w:rFonts w:hint="default" w:ascii="仿宋" w:hAnsi="仿宋" w:eastAsia="仿宋" w:cs="Times New Roman"/>
                <w:b/>
                <w:bCs/>
                <w:kern w:val="2"/>
                <w:sz w:val="30"/>
                <w:szCs w:val="30"/>
                <w:lang w:val="en-US" w:eastAsia="zh-CN" w:bidi="ar-SA"/>
              </w:rPr>
              <w:t>永春县中小学校近视防控教室照明改造工程任务分解表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简体" w:hAnsi="方正小标宋简体" w:eastAsia="方正小标宋简体" w:cs="方正小标宋简体"/>
                <w:i w:val="0"/>
                <w:iCs w:val="0"/>
                <w:color w:val="000000"/>
                <w:sz w:val="24"/>
                <w:szCs w:val="24"/>
                <w:u w:val="none"/>
              </w:rPr>
            </w:pPr>
            <w:r>
              <w:rPr>
                <w:rFonts w:hint="default" w:ascii="方正小标宋简体" w:hAnsi="方正小标宋简体" w:eastAsia="方正小标宋简体" w:cs="方正小标宋简体"/>
                <w:i w:val="0"/>
                <w:iCs w:val="0"/>
                <w:color w:val="000000"/>
                <w:kern w:val="0"/>
                <w:sz w:val="24"/>
                <w:szCs w:val="24"/>
                <w:u w:val="none"/>
                <w:lang w:val="en-US" w:eastAsia="zh-CN" w:bidi="ar"/>
              </w:rPr>
              <w:t>序号</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学校</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分解任务（间）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楷体_GB2312" w:hAnsi="宋体" w:eastAsia="楷体_GB2312" w:cs="楷体_GB2312"/>
                <w:i w:val="0"/>
                <w:iCs w:val="0"/>
                <w:color w:val="000000"/>
                <w:kern w:val="0"/>
                <w:sz w:val="24"/>
                <w:szCs w:val="24"/>
                <w:u w:val="none"/>
                <w:lang w:val="en-US" w:eastAsia="zh-CN" w:bidi="ar"/>
              </w:rPr>
              <w:t>永春三中</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等线" w:hAnsi="等线" w:eastAsia="等线" w:cs="等线"/>
                <w:i w:val="0"/>
                <w:iCs w:val="0"/>
                <w:color w:val="000000"/>
                <w:kern w:val="0"/>
                <w:sz w:val="24"/>
                <w:szCs w:val="24"/>
                <w:u w:val="none"/>
                <w:lang w:val="en-US" w:eastAsia="zh-CN" w:bidi="ar"/>
              </w:rPr>
              <w:t>1</w:t>
            </w:r>
            <w:r>
              <w:rPr>
                <w:rFonts w:hint="default" w:ascii="等线" w:hAnsi="等线" w:eastAsia="等线" w:cs="等线"/>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楷体_GB2312" w:hAnsi="宋体" w:eastAsia="楷体_GB2312" w:cs="楷体_GB2312"/>
                <w:i w:val="0"/>
                <w:iCs w:val="0"/>
                <w:color w:val="000000"/>
                <w:kern w:val="0"/>
                <w:sz w:val="24"/>
                <w:szCs w:val="24"/>
                <w:u w:val="none"/>
                <w:lang w:val="en-US" w:eastAsia="zh-CN" w:bidi="ar"/>
              </w:rPr>
              <w:t>美岭中学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lang w:val="en-US"/>
              </w:rPr>
            </w:pPr>
            <w:r>
              <w:rPr>
                <w:rFonts w:hint="eastAsia" w:ascii="等线" w:hAnsi="等线" w:eastAsia="等线" w:cs="等线"/>
                <w:i w:val="0"/>
                <w:iCs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楷体_GB2312" w:hAnsi="宋体" w:eastAsia="楷体_GB2312" w:cs="楷体_GB2312"/>
                <w:i w:val="0"/>
                <w:iCs w:val="0"/>
                <w:color w:val="000000"/>
                <w:kern w:val="0"/>
                <w:sz w:val="24"/>
                <w:szCs w:val="24"/>
                <w:u w:val="none"/>
                <w:lang w:val="en-US" w:eastAsia="zh-CN" w:bidi="ar"/>
              </w:rPr>
              <w:t>崇贤中学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等线" w:hAnsi="等线" w:eastAsia="等线" w:cs="等线"/>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蓬壶中学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汤城中学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介福中学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乌石学校</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锦斗中心小学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介福中心小学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呈祥中心小学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东平中心小学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东关中心小学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第三实验小学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榜头实验小学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化龙实验小学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等线" w:hAnsi="等线" w:eastAsia="等线" w:cs="等线"/>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楷体_GB2312" w:hAnsi="宋体" w:eastAsia="楷体_GB2312" w:cs="楷体_GB2312"/>
                <w:i w:val="0"/>
                <w:iCs w:val="0"/>
                <w:color w:val="000000"/>
                <w:kern w:val="0"/>
                <w:sz w:val="24"/>
                <w:szCs w:val="24"/>
                <w:u w:val="none"/>
                <w:lang w:val="en-US" w:eastAsia="zh-CN" w:bidi="ar"/>
              </w:rPr>
              <w:t>蓬壶壶东小学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楷体_GB2312" w:hAnsi="宋体" w:eastAsia="楷体_GB2312" w:cs="楷体_GB2312"/>
                <w:i w:val="0"/>
                <w:iCs w:val="0"/>
                <w:color w:val="000000"/>
                <w:kern w:val="0"/>
                <w:sz w:val="24"/>
                <w:szCs w:val="24"/>
                <w:u w:val="none"/>
                <w:lang w:val="en-US" w:eastAsia="zh-CN" w:bidi="ar"/>
              </w:rPr>
              <w:t>吾峰吾西小学</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800"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4"/>
                <w:szCs w:val="24"/>
                <w:u w:val="none"/>
              </w:rPr>
            </w:pPr>
          </w:p>
        </w:tc>
        <w:tc>
          <w:tcPr>
            <w:tcW w:w="321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485"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250</w:t>
            </w:r>
          </w:p>
        </w:tc>
      </w:tr>
    </w:tbl>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教室照明灯数量需求情况：一般情况每间教室按12盏安装（教室灯9盏，黑板灯3盏）。根据改造教室测量情况，存在教室面积大小不一，需根据现场实际进行增减安装，故此次采购需求总盏数为3000盏（含教室灯、黑板灯），具体盏数以现场实际安装情况为准。</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三、技术和服务要求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具体依据附件1《2023年福建省中小学校近视防控教室照明改造工程技术指引》</w:t>
      </w:r>
    </w:p>
    <w:p>
      <w:pPr>
        <w:numPr>
          <w:ilvl w:val="0"/>
          <w:numId w:val="1"/>
        </w:numPr>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教室照明光环境、灯具、光源及相关辅材要求</w:t>
      </w:r>
    </w:p>
    <w:tbl>
      <w:tblPr>
        <w:tblStyle w:val="12"/>
        <w:tblpPr w:leftFromText="180" w:rightFromText="180" w:vertAnchor="text" w:horzAnchor="page" w:tblpX="1472" w:tblpY="205"/>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273"/>
        <w:gridCol w:w="7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4" w:type="dxa"/>
            <w:vAlign w:val="center"/>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序号</w:t>
            </w:r>
          </w:p>
        </w:tc>
        <w:tc>
          <w:tcPr>
            <w:tcW w:w="1273" w:type="dxa"/>
            <w:vAlign w:val="center"/>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产品名称</w:t>
            </w:r>
          </w:p>
        </w:tc>
        <w:tc>
          <w:tcPr>
            <w:tcW w:w="7408" w:type="dxa"/>
            <w:vAlign w:val="center"/>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配置参数要求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1" w:hRule="atLeast"/>
        </w:trPr>
        <w:tc>
          <w:tcPr>
            <w:tcW w:w="844"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w:t>
            </w:r>
          </w:p>
        </w:tc>
        <w:tc>
          <w:tcPr>
            <w:tcW w:w="1273"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LED教室灯(核心产品）</w:t>
            </w:r>
          </w:p>
        </w:tc>
        <w:tc>
          <w:tcPr>
            <w:tcW w:w="7408" w:type="dxa"/>
            <w:tcBorders>
              <w:top w:val="single" w:color="000000" w:sz="4" w:space="0"/>
              <w:left w:val="single" w:color="000000" w:sz="4" w:space="0"/>
              <w:bottom w:val="single" w:color="000000" w:sz="4" w:space="0"/>
              <w:right w:val="single" w:color="000000" w:sz="4" w:space="0"/>
            </w:tcBorders>
            <w:vAlign w:val="center"/>
          </w:tcPr>
          <w:p>
            <w:pPr>
              <w:pStyle w:val="20"/>
              <w:widowControl w:val="0"/>
              <w:numPr>
                <w:ilvl w:val="0"/>
                <w:numId w:val="2"/>
              </w:numPr>
              <w:ind w:firstLine="0"/>
              <w:rPr>
                <w:rFonts w:hint="eastAsia"/>
                <w:lang w:val="en-US" w:eastAsia="zh-CN"/>
              </w:rPr>
            </w:pPr>
            <w:r>
              <w:rPr>
                <w:rFonts w:hint="eastAsia" w:ascii="仿宋" w:hAnsi="仿宋" w:eastAsia="仿宋" w:cs="Times New Roman"/>
                <w:color w:val="auto"/>
                <w:kern w:val="2"/>
                <w:sz w:val="32"/>
                <w:szCs w:val="32"/>
                <w:lang w:val="en-US" w:eastAsia="zh-CN" w:bidi="ar-SA"/>
              </w:rPr>
              <w:t>一体化LED灯具，整体尺寸：长≥1100mm、宽≥290mm，结构材质：LED教室灯具背板须为金属材质，</w:t>
            </w:r>
            <w:r>
              <w:rPr>
                <w:rFonts w:hint="eastAsia" w:ascii="仿宋" w:hAnsi="仿宋" w:eastAsia="仿宋" w:cs="Times New Roman"/>
                <w:color w:val="auto"/>
                <w:kern w:val="2"/>
                <w:sz w:val="32"/>
                <w:szCs w:val="32"/>
                <w:u w:val="none"/>
                <w:lang w:val="en-US" w:eastAsia="zh-CN" w:bidi="ar-SA"/>
              </w:rPr>
              <w:t>边框采用铝型材质，</w:t>
            </w:r>
            <w:r>
              <w:rPr>
                <w:rFonts w:hint="eastAsia" w:ascii="仿宋" w:hAnsi="仿宋" w:eastAsia="仿宋" w:cs="Times New Roman"/>
                <w:color w:val="auto"/>
                <w:kern w:val="2"/>
                <w:sz w:val="32"/>
                <w:szCs w:val="32"/>
                <w:lang w:val="en-US" w:eastAsia="zh-CN" w:bidi="ar-SA"/>
              </w:rPr>
              <w:t>背板和</w:t>
            </w:r>
            <w:r>
              <w:rPr>
                <w:rFonts w:hint="eastAsia" w:ascii="仿宋" w:hAnsi="仿宋" w:eastAsia="仿宋" w:cs="Times New Roman"/>
                <w:color w:val="auto"/>
                <w:kern w:val="2"/>
                <w:sz w:val="32"/>
                <w:szCs w:val="32"/>
                <w:u w:val="none"/>
                <w:lang w:val="en-US" w:eastAsia="zh-CN" w:bidi="ar-SA"/>
              </w:rPr>
              <w:t>边框</w:t>
            </w:r>
            <w:r>
              <w:rPr>
                <w:rFonts w:hint="eastAsia" w:ascii="仿宋" w:hAnsi="仿宋" w:eastAsia="仿宋" w:cs="Times New Roman"/>
                <w:color w:val="auto"/>
                <w:kern w:val="2"/>
                <w:sz w:val="32"/>
                <w:szCs w:val="32"/>
                <w:lang w:val="en-US" w:eastAsia="zh-CN" w:bidi="ar-SA"/>
              </w:rPr>
              <w:t>拒绝使用塑料材质，背板表面做喷涂或阳极氧化工艺处理；产品外形平整，无凹陷和毛刺，焊缝无透光现象，表面均匀，光洁，无流挂现象。</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2、LED教室灯额定功率36±2W，功率因数≥0.95，灯具效能≥90 Lm/W，光通量≥3000 Lm。</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3、LED教室灯色温额定5000±200K，显色指数Ra≥90，R9≥60，色容差≤5SDCM。</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4、LED教室灯视网膜蓝光危害组别应按IEC/TR 62778评估为 RG0或无危险类。</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5、LED教室灯在其额定电压下工作时，其光输出波形的波动深度应不大于表1的限值要求。</w:t>
            </w:r>
          </w:p>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表1  波动深度限值要求</w:t>
            </w:r>
          </w:p>
          <w:tbl>
            <w:tblPr>
              <w:tblStyle w:val="11"/>
              <w:tblW w:w="671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13"/>
              <w:gridCol w:w="982"/>
              <w:gridCol w:w="1336"/>
              <w:gridCol w:w="1496"/>
              <w:gridCol w:w="11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2034" w:type="dxa"/>
                  <w:tcBorders>
                    <w:tl2br w:val="nil"/>
                    <w:tr2bl w:val="nil"/>
                  </w:tcBorders>
                  <w:vAlign w:val="center"/>
                </w:tcPr>
                <w:p>
                  <w:pPr>
                    <w:widowControl/>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光输出波形频率（f）</w:t>
                  </w:r>
                </w:p>
              </w:tc>
              <w:tc>
                <w:tcPr>
                  <w:tcW w:w="1040"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f≤10Hz</w:t>
                  </w:r>
                </w:p>
              </w:tc>
              <w:tc>
                <w:tcPr>
                  <w:tcW w:w="1228"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10Hz＜f</w:t>
                  </w:r>
                </w:p>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≤90Hz</w:t>
                  </w:r>
                </w:p>
              </w:tc>
              <w:tc>
                <w:tcPr>
                  <w:tcW w:w="1221"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90Hz＜f</w:t>
                  </w:r>
                </w:p>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≤3125Hz</w:t>
                  </w:r>
                </w:p>
              </w:tc>
              <w:tc>
                <w:tcPr>
                  <w:tcW w:w="1189"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f＞3125Hz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2034"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波动深度限值（%）</w:t>
                  </w:r>
                </w:p>
              </w:tc>
              <w:tc>
                <w:tcPr>
                  <w:tcW w:w="1040"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0.1</w:t>
                  </w:r>
                </w:p>
              </w:tc>
              <w:tc>
                <w:tcPr>
                  <w:tcW w:w="1228"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f×0.01</w:t>
                  </w:r>
                </w:p>
              </w:tc>
              <w:tc>
                <w:tcPr>
                  <w:tcW w:w="1221"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f×0.032</w:t>
                  </w:r>
                </w:p>
              </w:tc>
              <w:tc>
                <w:tcPr>
                  <w:tcW w:w="1189"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免除考核</w:t>
                  </w:r>
                </w:p>
              </w:tc>
            </w:tr>
          </w:tbl>
          <w:p>
            <w:pPr>
              <w:keepNext w:val="0"/>
              <w:keepLines w:val="0"/>
              <w:pageBreakBefore w:val="0"/>
              <w:widowControl w:val="0"/>
              <w:wordWrap/>
              <w:overflowPunct/>
              <w:topLinePunct w:val="0"/>
              <w:autoSpaceDE/>
              <w:autoSpaceDN/>
              <w:bidi w:val="0"/>
              <w:adjustRightInd/>
              <w:snapToGrid w:val="0"/>
              <w:spacing w:line="580" w:lineRule="exact"/>
              <w:ind w:right="0" w:rightChars="0"/>
              <w:outlineLvl w:val="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6、LED教室灯光闪烁按IEC TR 61547-1的规定测得的</w:t>
            </w:r>
            <w:r>
              <w:rPr>
                <w:rFonts w:hint="default" w:ascii="Times New Roman" w:hAnsi="Times New Roman" w:eastAsia="仿宋_GB2312" w:cs="Times New Roman"/>
                <w:color w:val="auto"/>
                <w:sz w:val="32"/>
                <w:szCs w:val="32"/>
              </w:rPr>
              <w:t>P</w:t>
            </w:r>
            <w:r>
              <w:rPr>
                <w:rFonts w:hint="default" w:ascii="Times New Roman" w:hAnsi="Times New Roman" w:eastAsia="仿宋_GB2312" w:cs="Times New Roman"/>
                <w:color w:val="auto"/>
                <w:sz w:val="32"/>
                <w:szCs w:val="32"/>
                <w:vertAlign w:val="subscript"/>
              </w:rPr>
              <w:t>st</w:t>
            </w:r>
            <w:r>
              <w:rPr>
                <w:rFonts w:hint="default" w:ascii="Times New Roman" w:hAnsi="Times New Roman" w:eastAsia="仿宋_GB2312" w:cs="Times New Roman"/>
                <w:color w:val="auto"/>
                <w:sz w:val="32"/>
                <w:szCs w:val="32"/>
                <w:vertAlign w:val="superscript"/>
                <w:lang w:val="en-US" w:eastAsia="zh-CN"/>
              </w:rPr>
              <w:t>LM</w:t>
            </w:r>
            <w:r>
              <w:rPr>
                <w:rFonts w:hint="eastAsia" w:ascii="仿宋" w:hAnsi="仿宋" w:eastAsia="仿宋"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rPr>
              <w:t>也不应超过制造商声称的P</w:t>
            </w:r>
            <w:r>
              <w:rPr>
                <w:rFonts w:hint="default" w:ascii="Times New Roman" w:hAnsi="Times New Roman" w:eastAsia="仿宋_GB2312" w:cs="Times New Roman"/>
                <w:color w:val="auto"/>
                <w:sz w:val="32"/>
                <w:szCs w:val="32"/>
                <w:vertAlign w:val="subscript"/>
              </w:rPr>
              <w:t>st</w:t>
            </w:r>
            <w:r>
              <w:rPr>
                <w:rFonts w:hint="default" w:ascii="Times New Roman" w:hAnsi="Times New Roman" w:eastAsia="仿宋_GB2312" w:cs="Times New Roman"/>
                <w:color w:val="auto"/>
                <w:sz w:val="32"/>
                <w:szCs w:val="32"/>
                <w:vertAlign w:val="superscript"/>
                <w:lang w:val="en-US" w:eastAsia="zh-CN"/>
              </w:rPr>
              <w:t>LM</w:t>
            </w:r>
            <w:r>
              <w:rPr>
                <w:rFonts w:hint="default" w:ascii="Times New Roman" w:hAnsi="Times New Roman" w:eastAsia="仿宋_GB2312" w:cs="Times New Roman"/>
                <w:color w:val="auto"/>
                <w:sz w:val="32"/>
                <w:szCs w:val="32"/>
              </w:rPr>
              <w:t>值。</w:t>
            </w:r>
          </w:p>
          <w:p>
            <w:pPr>
              <w:pStyle w:val="4"/>
              <w:ind w:firstLine="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7、LED教室灯频闪效应可见度SVM＜1。</w:t>
            </w:r>
            <w:r>
              <w:rPr>
                <w:rFonts w:hint="eastAsia" w:ascii="仿宋" w:hAnsi="仿宋" w:eastAsia="仿宋" w:cs="Times New Roman"/>
                <w:color w:val="auto"/>
                <w:kern w:val="2"/>
                <w:sz w:val="32"/>
                <w:szCs w:val="32"/>
                <w:lang w:val="en-US" w:eastAsia="zh-CN" w:bidi="ar-SA"/>
              </w:rPr>
              <w:br w:type="textWrapping"/>
            </w:r>
            <w:r>
              <w:rPr>
                <w:rFonts w:hint="eastAsia" w:ascii="仿宋" w:hAnsi="仿宋" w:eastAsia="仿宋" w:cs="Times New Roman"/>
                <w:color w:val="auto"/>
                <w:kern w:val="2"/>
                <w:sz w:val="32"/>
                <w:szCs w:val="32"/>
                <w:lang w:val="en-US" w:eastAsia="zh-CN" w:bidi="ar-SA"/>
              </w:rPr>
              <w:t>8、LED教室灯在满足教室照明质量指标和照明节能要求的前提下，向上半球发射光通量占总光通量10%以上。</w:t>
            </w:r>
          </w:p>
          <w:p>
            <w:pPr>
              <w:widowControl/>
              <w:numPr>
                <w:ilvl w:val="0"/>
                <w:numId w:val="0"/>
              </w:numPr>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9、LED教室灯的额定寿命≥50000小时，正常燃点3000小时后，光通维持率≥96%，正常燃点6000小时后，光通维持率≥93%。</w:t>
            </w:r>
          </w:p>
          <w:p>
            <w:pPr>
              <w:pStyle w:val="20"/>
              <w:widowControl w:val="0"/>
              <w:ind w:firstLine="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10、教室空间亮度分布应防止过高的亮度对比，视觉任务表面（包括课桌面与黑板面）之间的最大与最小融合照度之比不应高于10∶1。</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11、教室课桌面上的维持平均照度值≥300 lx，照度均匀度≥0.7;教室的统一眩光值（UGR）≤16，照明维护系数应取0.8。</w:t>
            </w:r>
          </w:p>
          <w:p>
            <w:pPr>
              <w:rPr>
                <w:rFonts w:hint="default"/>
                <w:color w:val="auto"/>
                <w:lang w:val="en-US" w:eastAsia="zh-CN"/>
              </w:rPr>
            </w:pPr>
            <w:r>
              <w:rPr>
                <w:rFonts w:hint="eastAsia" w:ascii="仿宋" w:hAnsi="仿宋" w:eastAsia="仿宋" w:cs="Times New Roman"/>
                <w:color w:val="auto"/>
                <w:kern w:val="2"/>
                <w:sz w:val="32"/>
                <w:szCs w:val="32"/>
                <w:lang w:val="en-US" w:eastAsia="zh-CN" w:bidi="ar-SA"/>
              </w:rPr>
              <w:t>12、LED教室灯符合防尘防水等级：≥IP40。</w:t>
            </w:r>
          </w:p>
          <w:p>
            <w:pPr>
              <w:rPr>
                <w:rFonts w:hint="eastAsia"/>
                <w:color w:val="auto"/>
                <w:lang w:val="en-US" w:eastAsia="zh-CN"/>
              </w:rPr>
            </w:pPr>
            <w:r>
              <w:rPr>
                <w:rFonts w:hint="eastAsia" w:ascii="仿宋" w:hAnsi="仿宋" w:eastAsia="仿宋" w:cs="Times New Roman"/>
                <w:color w:val="auto"/>
                <w:kern w:val="2"/>
                <w:sz w:val="32"/>
                <w:szCs w:val="32"/>
                <w:lang w:val="en-US" w:eastAsia="zh-CN" w:bidi="ar-SA"/>
              </w:rPr>
              <w:t>13、LED教室灯符合国家“CCC”产品认证要求,所投产品型号与“CCC”证书标注的型号一致，</w:t>
            </w:r>
            <w:r>
              <w:rPr>
                <w:rFonts w:hint="eastAsia" w:ascii="仿宋" w:hAnsi="仿宋" w:eastAsia="仿宋" w:cs="Times New Roman"/>
                <w:color w:val="auto"/>
                <w:kern w:val="2"/>
                <w:sz w:val="32"/>
                <w:szCs w:val="32"/>
                <w:u w:val="none"/>
                <w:lang w:val="en-US" w:eastAsia="zh-CN" w:bidi="ar-SA"/>
              </w:rPr>
              <w:t>“CCC”认证的申请商、制造商和生产商必须为同一厂家</w:t>
            </w:r>
            <w:r>
              <w:rPr>
                <w:rFonts w:hint="default" w:ascii="仿宋" w:hAnsi="仿宋" w:eastAsia="仿宋" w:cs="Times New Roman"/>
                <w:color w:val="auto"/>
                <w:kern w:val="2"/>
                <w:sz w:val="32"/>
                <w:szCs w:val="32"/>
                <w:u w:val="none"/>
                <w:lang w:val="en-US" w:eastAsia="zh-CN" w:bidi="ar-SA"/>
              </w:rPr>
              <w:t>,</w:t>
            </w:r>
            <w:r>
              <w:rPr>
                <w:rFonts w:hint="eastAsia" w:ascii="仿宋" w:hAnsi="仿宋" w:eastAsia="仿宋" w:cs="Times New Roman"/>
                <w:color w:val="auto"/>
                <w:kern w:val="2"/>
                <w:sz w:val="32"/>
                <w:szCs w:val="32"/>
                <w:lang w:val="en-US" w:eastAsia="zh-CN" w:bidi="ar-SA"/>
              </w:rPr>
              <w:t>产品不允许贴牌。</w:t>
            </w:r>
          </w:p>
          <w:p>
            <w:pPr>
              <w:rPr>
                <w:rFonts w:hint="default" w:ascii="Times New Roman" w:hAnsi="Times New Roman" w:eastAsia="仿宋_GB2312" w:cs="Times New Roman"/>
                <w:color w:val="auto"/>
                <w:sz w:val="32"/>
                <w:szCs w:val="32"/>
              </w:rPr>
            </w:pPr>
            <w:r>
              <w:rPr>
                <w:rFonts w:hint="eastAsia" w:ascii="仿宋" w:hAnsi="仿宋" w:eastAsia="仿宋" w:cs="Times New Roman"/>
                <w:color w:val="auto"/>
                <w:kern w:val="2"/>
                <w:sz w:val="32"/>
                <w:szCs w:val="32"/>
                <w:lang w:val="en-US" w:eastAsia="zh-CN" w:bidi="ar-SA"/>
              </w:rPr>
              <w:t>14、充分考虑儿童青少年生长发育特点，</w:t>
            </w:r>
            <w:r>
              <w:rPr>
                <w:rFonts w:hint="default" w:ascii="Times New Roman" w:hAnsi="Times New Roman" w:eastAsia="仿宋_GB2312" w:cs="Times New Roman"/>
                <w:color w:val="auto"/>
                <w:sz w:val="32"/>
                <w:szCs w:val="32"/>
              </w:rPr>
              <w:t>结合近视防控需求等实际情况，</w:t>
            </w:r>
            <w:r>
              <w:rPr>
                <w:rFonts w:hint="eastAsia" w:ascii="仿宋" w:hAnsi="仿宋" w:eastAsia="仿宋" w:cs="Times New Roman"/>
                <w:b w:val="0"/>
                <w:color w:val="auto"/>
                <w:kern w:val="2"/>
                <w:sz w:val="32"/>
                <w:szCs w:val="32"/>
                <w:lang w:val="en-US" w:eastAsia="zh-CN" w:bidi="ar-SA"/>
              </w:rPr>
              <w:t>LED教室灯</w:t>
            </w:r>
            <w:r>
              <w:rPr>
                <w:rFonts w:hint="eastAsia" w:ascii="仿宋" w:hAnsi="仿宋" w:eastAsia="仿宋" w:cs="Times New Roman"/>
                <w:color w:val="auto"/>
                <w:kern w:val="2"/>
                <w:sz w:val="32"/>
                <w:szCs w:val="32"/>
                <w:lang w:val="en-US" w:eastAsia="zh-CN" w:bidi="ar-SA"/>
              </w:rPr>
              <w:t>产品应</w:t>
            </w:r>
            <w:r>
              <w:rPr>
                <w:rFonts w:hint="eastAsia" w:ascii="Times New Roman" w:hAnsi="Times New Roman" w:eastAsia="仿宋_GB2312" w:cs="Times New Roman"/>
                <w:color w:val="auto"/>
                <w:sz w:val="32"/>
                <w:szCs w:val="32"/>
              </w:rPr>
              <w:t>具备教室优质照明光环境或健康教室照明光环境认证。</w:t>
            </w:r>
          </w:p>
          <w:p>
            <w:pPr>
              <w:rPr>
                <w:rFonts w:hint="eastAsia" w:ascii="仿宋" w:hAnsi="仿宋" w:eastAsia="仿宋"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 xml:space="preserve"> </w:t>
            </w:r>
            <w:r>
              <w:rPr>
                <w:rFonts w:hint="eastAsia" w:ascii="仿宋" w:hAnsi="仿宋" w:eastAsia="仿宋" w:cs="Times New Roman"/>
                <w:color w:val="auto"/>
                <w:kern w:val="2"/>
                <w:sz w:val="32"/>
                <w:szCs w:val="32"/>
                <w:lang w:val="en-US" w:eastAsia="zh-CN" w:bidi="ar-SA"/>
              </w:rPr>
              <w:t>注：（①第2-7项目应符合QB/T 5533的要求，提供QB/T 5533证书复印件；提供相关性能的CMA检测报告复印件，以上指标宜在一份报告中体现。</w:t>
            </w:r>
          </w:p>
          <w:p>
            <w:pP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②技术参数8-12项须提供封面具有CMA和CNAS标志的第三方检测机构检测报告复印件。</w:t>
            </w:r>
          </w:p>
          <w:p>
            <w:pPr>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③技术参数13-14项须提供第三方认证机构出具的认证证书复印件（证书上须体现产品型号及认证标准）及全国认证认可信息公共服务平台查询为“有效”状态的截图。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w:t>
            </w:r>
          </w:p>
        </w:tc>
        <w:tc>
          <w:tcPr>
            <w:tcW w:w="1273"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LED黑板灯（核心产品）</w:t>
            </w:r>
          </w:p>
        </w:tc>
        <w:tc>
          <w:tcPr>
            <w:tcW w:w="7408" w:type="dxa"/>
            <w:tcBorders>
              <w:top w:val="single" w:color="000000" w:sz="4" w:space="0"/>
              <w:left w:val="single" w:color="000000" w:sz="4" w:space="0"/>
              <w:bottom w:val="single" w:color="000000" w:sz="4" w:space="0"/>
              <w:right w:val="single" w:color="000000" w:sz="4" w:space="0"/>
            </w:tcBorders>
            <w:vAlign w:val="center"/>
          </w:tcPr>
          <w:p>
            <w:pPr>
              <w:pStyle w:val="20"/>
              <w:widowControl w:val="0"/>
              <w:numPr>
                <w:ilvl w:val="0"/>
                <w:numId w:val="3"/>
              </w:numPr>
              <w:ind w:firstLine="0"/>
              <w:rPr>
                <w:rFonts w:hint="eastAsia"/>
                <w:lang w:val="en-US" w:eastAsia="zh-CN"/>
              </w:rPr>
            </w:pPr>
            <w:r>
              <w:rPr>
                <w:rFonts w:hint="eastAsia" w:ascii="仿宋" w:hAnsi="仿宋" w:eastAsia="仿宋" w:cs="Times New Roman"/>
                <w:color w:val="auto"/>
                <w:kern w:val="2"/>
                <w:sz w:val="32"/>
                <w:szCs w:val="32"/>
                <w:lang w:val="en-US" w:eastAsia="zh-CN" w:bidi="ar-SA"/>
              </w:rPr>
              <w:t>一体化L</w:t>
            </w:r>
            <w:r>
              <w:rPr>
                <w:rFonts w:hint="eastAsia" w:ascii="仿宋" w:hAnsi="仿宋" w:eastAsia="仿宋" w:cs="Times New Roman"/>
                <w:color w:val="auto"/>
                <w:kern w:val="2"/>
                <w:sz w:val="32"/>
                <w:szCs w:val="32"/>
                <w:lang w:val="en-US" w:eastAsia="zh-Hans" w:bidi="ar-SA"/>
              </w:rPr>
              <w:t>E</w:t>
            </w:r>
            <w:r>
              <w:rPr>
                <w:rFonts w:hint="eastAsia" w:ascii="仿宋" w:hAnsi="仿宋" w:eastAsia="仿宋" w:cs="Times New Roman"/>
                <w:color w:val="auto"/>
                <w:kern w:val="2"/>
                <w:sz w:val="32"/>
                <w:szCs w:val="32"/>
                <w:lang w:val="en-US" w:eastAsia="zh-CN" w:bidi="ar-SA"/>
              </w:rPr>
              <w:t>D灯具，整灯发光面长度≥1100mm；结构材质：LED黑板灯具</w:t>
            </w:r>
            <w:r>
              <w:rPr>
                <w:rFonts w:hint="eastAsia" w:ascii="仿宋" w:hAnsi="仿宋" w:eastAsia="仿宋" w:cs="Times New Roman"/>
                <w:color w:val="auto"/>
                <w:kern w:val="2"/>
                <w:sz w:val="32"/>
                <w:szCs w:val="32"/>
                <w:u w:val="none"/>
                <w:lang w:val="en-US" w:eastAsia="zh-CN" w:bidi="ar-SA"/>
              </w:rPr>
              <w:t>整灯为铝型材一体成型</w:t>
            </w:r>
            <w:r>
              <w:rPr>
                <w:rFonts w:hint="eastAsia" w:ascii="仿宋" w:hAnsi="仿宋" w:eastAsia="仿宋" w:cs="Times New Roman"/>
                <w:color w:val="auto"/>
                <w:kern w:val="2"/>
                <w:sz w:val="32"/>
                <w:szCs w:val="32"/>
                <w:lang w:val="en-US" w:eastAsia="zh-CN" w:bidi="ar-SA"/>
              </w:rPr>
              <w:t>，表面阳极氧化工艺处理；产品外形平整，无凹陷和毛刺，焊缝无透光现象，表面均匀，光洁，无流挂现象。</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2、LED黑板灯额定功率36±2W，功率因数＞0.95，灯具效能≥80 Lm/W，光通量≥3000 Lm。</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3、LED黑板灯色温额定5000±200K，显色指数Ra≥90，R9＞60，色容差≤5SDCM。</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4、LED黑板灯视网膜蓝光危害组别应按IEC/TR 62778评估为 RG0或RG1。</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5、LED黑板灯在其额定电压下工作时，其光输出波形的波动深度应不大于表2的限值要求。</w:t>
            </w:r>
          </w:p>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表2  波动深度限值要求</w:t>
            </w:r>
          </w:p>
          <w:tbl>
            <w:tblPr>
              <w:tblStyle w:val="11"/>
              <w:tblW w:w="65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97"/>
              <w:gridCol w:w="949"/>
              <w:gridCol w:w="1336"/>
              <w:gridCol w:w="1496"/>
              <w:gridCol w:w="12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2058"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光输出波形频率（f）</w:t>
                  </w:r>
                </w:p>
              </w:tc>
              <w:tc>
                <w:tcPr>
                  <w:tcW w:w="1023"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f≤10Hz</w:t>
                  </w:r>
                </w:p>
              </w:tc>
              <w:tc>
                <w:tcPr>
                  <w:tcW w:w="1143"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10Hz＜f</w:t>
                  </w:r>
                </w:p>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≤90Hz</w:t>
                  </w:r>
                </w:p>
              </w:tc>
              <w:tc>
                <w:tcPr>
                  <w:tcW w:w="1125"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90Hz＜f</w:t>
                  </w:r>
                </w:p>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≤3125Hz</w:t>
                  </w:r>
                </w:p>
              </w:tc>
              <w:tc>
                <w:tcPr>
                  <w:tcW w:w="1241"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f＞3125Hz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2058"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波动深度限值（%）</w:t>
                  </w:r>
                </w:p>
              </w:tc>
              <w:tc>
                <w:tcPr>
                  <w:tcW w:w="1023"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0.1</w:t>
                  </w:r>
                </w:p>
              </w:tc>
              <w:tc>
                <w:tcPr>
                  <w:tcW w:w="1143"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f×0.01</w:t>
                  </w:r>
                </w:p>
              </w:tc>
              <w:tc>
                <w:tcPr>
                  <w:tcW w:w="1125"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f×0.032</w:t>
                  </w:r>
                </w:p>
              </w:tc>
              <w:tc>
                <w:tcPr>
                  <w:tcW w:w="1241" w:type="dxa"/>
                  <w:tcBorders>
                    <w:tl2br w:val="nil"/>
                    <w:tr2bl w:val="nil"/>
                  </w:tcBorders>
                  <w:vAlign w:val="center"/>
                </w:tcPr>
                <w:p>
                  <w:pPr>
                    <w:widowControl/>
                    <w:jc w:val="center"/>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免除考核</w:t>
                  </w:r>
                </w:p>
              </w:tc>
            </w:tr>
          </w:tbl>
          <w:p>
            <w:pPr>
              <w:keepNext w:val="0"/>
              <w:keepLines w:val="0"/>
              <w:pageBreakBefore w:val="0"/>
              <w:widowControl w:val="0"/>
              <w:wordWrap/>
              <w:overflowPunct/>
              <w:topLinePunct w:val="0"/>
              <w:autoSpaceDE/>
              <w:autoSpaceDN/>
              <w:bidi w:val="0"/>
              <w:adjustRightInd/>
              <w:snapToGrid w:val="0"/>
              <w:spacing w:line="580" w:lineRule="exact"/>
              <w:ind w:right="0" w:rightChars="0"/>
              <w:outlineLvl w:val="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6、LED黑板灯光闪烁按IEC TR 61547-1的规定测得的</w:t>
            </w:r>
            <w:r>
              <w:rPr>
                <w:rFonts w:hint="default" w:ascii="Times New Roman" w:hAnsi="Times New Roman" w:eastAsia="仿宋_GB2312" w:cs="Times New Roman"/>
                <w:color w:val="auto"/>
                <w:sz w:val="32"/>
                <w:szCs w:val="32"/>
              </w:rPr>
              <w:t>P</w:t>
            </w:r>
            <w:r>
              <w:rPr>
                <w:rFonts w:hint="default" w:ascii="Times New Roman" w:hAnsi="Times New Roman" w:eastAsia="仿宋_GB2312" w:cs="Times New Roman"/>
                <w:color w:val="auto"/>
                <w:sz w:val="32"/>
                <w:szCs w:val="32"/>
                <w:vertAlign w:val="subscript"/>
              </w:rPr>
              <w:t>st</w:t>
            </w:r>
            <w:r>
              <w:rPr>
                <w:rFonts w:hint="default" w:ascii="Times New Roman" w:hAnsi="Times New Roman" w:eastAsia="仿宋_GB2312" w:cs="Times New Roman"/>
                <w:color w:val="auto"/>
                <w:sz w:val="32"/>
                <w:szCs w:val="32"/>
                <w:vertAlign w:val="superscript"/>
                <w:lang w:val="en-US" w:eastAsia="zh-CN"/>
              </w:rPr>
              <w:t>LM</w:t>
            </w:r>
            <w:r>
              <w:rPr>
                <w:rFonts w:hint="eastAsia" w:ascii="仿宋" w:hAnsi="仿宋" w:eastAsia="仿宋"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rPr>
              <w:t>也不应超过制造商声称的P</w:t>
            </w:r>
            <w:r>
              <w:rPr>
                <w:rFonts w:hint="default" w:ascii="Times New Roman" w:hAnsi="Times New Roman" w:eastAsia="仿宋_GB2312" w:cs="Times New Roman"/>
                <w:color w:val="auto"/>
                <w:sz w:val="32"/>
                <w:szCs w:val="32"/>
                <w:vertAlign w:val="subscript"/>
              </w:rPr>
              <w:t>st</w:t>
            </w:r>
            <w:r>
              <w:rPr>
                <w:rFonts w:hint="default" w:ascii="Times New Roman" w:hAnsi="Times New Roman" w:eastAsia="仿宋_GB2312" w:cs="Times New Roman"/>
                <w:color w:val="auto"/>
                <w:sz w:val="32"/>
                <w:szCs w:val="32"/>
                <w:vertAlign w:val="superscript"/>
                <w:lang w:val="en-US" w:eastAsia="zh-CN"/>
              </w:rPr>
              <w:t>LM</w:t>
            </w:r>
            <w:r>
              <w:rPr>
                <w:rFonts w:hint="default" w:ascii="Times New Roman" w:hAnsi="Times New Roman" w:eastAsia="仿宋_GB2312" w:cs="Times New Roman"/>
                <w:color w:val="auto"/>
                <w:sz w:val="32"/>
                <w:szCs w:val="32"/>
              </w:rPr>
              <w:t>值。</w:t>
            </w:r>
          </w:p>
          <w:p>
            <w:pPr>
              <w:pStyle w:val="4"/>
              <w:ind w:firstLine="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7、LED教室灯频闪效应可见度SVM＜1。</w:t>
            </w:r>
          </w:p>
          <w:p>
            <w:pPr>
              <w:widowControl/>
              <w:jc w:val="left"/>
              <w:textAlignment w:val="cente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8、LED黑板灯的额定寿命≥50000小时，正常燃点3000小时后，光通维持率≥96%，正常燃点6000小时后，光通维持率≥93%。</w:t>
            </w:r>
          </w:p>
          <w:p>
            <w:pPr>
              <w:widowControl/>
              <w:jc w:val="left"/>
              <w:textAlignment w:val="center"/>
              <w:rPr>
                <w:rFonts w:hint="default" w:ascii="仿宋" w:hAnsi="仿宋" w:eastAsia="仿宋" w:cs="Times New Roman"/>
                <w:b w:val="0"/>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9、教室</w:t>
            </w:r>
            <w:r>
              <w:rPr>
                <w:rFonts w:hint="eastAsia" w:ascii="仿宋" w:hAnsi="仿宋" w:eastAsia="仿宋" w:cs="Times New Roman"/>
                <w:b w:val="0"/>
                <w:color w:val="auto"/>
                <w:kern w:val="2"/>
                <w:sz w:val="32"/>
                <w:szCs w:val="32"/>
                <w:lang w:val="en-US" w:eastAsia="zh-CN" w:bidi="ar-SA"/>
              </w:rPr>
              <w:t>黑板应设局部照明灯，其维持平均照度≥500 1x，照度均匀度≥0.8，照明维护系数应取0.8。</w:t>
            </w:r>
          </w:p>
          <w:p>
            <w:pPr>
              <w:spacing w:line="276" w:lineRule="auto"/>
              <w:ind w:firstLine="0" w:firstLineChars="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10、LED黑板灯符合防尘防水等级：≥IP40。</w:t>
            </w:r>
          </w:p>
          <w:p>
            <w:pPr>
              <w:spacing w:line="276" w:lineRule="auto"/>
              <w:ind w:firstLine="0" w:firstLineChars="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11、LED黑板灯符合国家“CCC”产品认证要求,所投产品型号与“CCC”证书标注的型号一致，</w:t>
            </w:r>
            <w:r>
              <w:rPr>
                <w:rFonts w:hint="eastAsia" w:ascii="仿宋" w:hAnsi="仿宋" w:eastAsia="仿宋" w:cs="Times New Roman"/>
                <w:color w:val="auto"/>
                <w:kern w:val="2"/>
                <w:sz w:val="32"/>
                <w:szCs w:val="32"/>
                <w:u w:val="none"/>
                <w:lang w:val="en-US" w:eastAsia="zh-CN" w:bidi="ar-SA"/>
              </w:rPr>
              <w:t>“CCC”认证的申请商、制造商和生产商必须为同一厂家，</w:t>
            </w:r>
            <w:r>
              <w:rPr>
                <w:rFonts w:hint="eastAsia" w:ascii="仿宋" w:hAnsi="仿宋" w:eastAsia="仿宋" w:cs="Times New Roman"/>
                <w:color w:val="auto"/>
                <w:kern w:val="2"/>
                <w:sz w:val="32"/>
                <w:szCs w:val="32"/>
                <w:lang w:val="en-US" w:eastAsia="zh-CN" w:bidi="ar-SA"/>
              </w:rPr>
              <w:t>产品不允许贴牌。</w:t>
            </w:r>
          </w:p>
          <w:p>
            <w:pPr>
              <w:rPr>
                <w:rFonts w:hint="default" w:ascii="Times New Roman" w:hAnsi="Times New Roman" w:eastAsia="仿宋_GB2312" w:cs="Times New Roman"/>
                <w:color w:val="auto"/>
                <w:sz w:val="32"/>
                <w:szCs w:val="32"/>
              </w:rPr>
            </w:pPr>
            <w:r>
              <w:rPr>
                <w:rFonts w:hint="eastAsia" w:ascii="仿宋" w:hAnsi="仿宋" w:eastAsia="仿宋" w:cs="Times New Roman"/>
                <w:b w:val="0"/>
                <w:color w:val="auto"/>
                <w:kern w:val="2"/>
                <w:sz w:val="32"/>
                <w:szCs w:val="32"/>
                <w:lang w:val="en-US" w:eastAsia="zh-CN" w:bidi="ar-SA"/>
              </w:rPr>
              <w:t>12、</w:t>
            </w:r>
            <w:r>
              <w:rPr>
                <w:rFonts w:hint="eastAsia" w:ascii="仿宋" w:hAnsi="仿宋" w:eastAsia="仿宋" w:cs="Times New Roman"/>
                <w:color w:val="auto"/>
                <w:kern w:val="2"/>
                <w:sz w:val="32"/>
                <w:szCs w:val="32"/>
                <w:lang w:val="en-US" w:eastAsia="zh-CN" w:bidi="ar-SA"/>
              </w:rPr>
              <w:t>充分考虑儿童青少年生长发育特点，</w:t>
            </w:r>
            <w:r>
              <w:rPr>
                <w:rFonts w:hint="default" w:ascii="Times New Roman" w:hAnsi="Times New Roman" w:eastAsia="仿宋_GB2312" w:cs="Times New Roman"/>
                <w:color w:val="auto"/>
                <w:sz w:val="32"/>
                <w:szCs w:val="32"/>
              </w:rPr>
              <w:t>结合近视防控需求等实际情况，</w:t>
            </w:r>
            <w:r>
              <w:rPr>
                <w:rFonts w:hint="eastAsia" w:ascii="仿宋" w:hAnsi="仿宋" w:eastAsia="仿宋" w:cs="Times New Roman"/>
                <w:b w:val="0"/>
                <w:color w:val="auto"/>
                <w:kern w:val="2"/>
                <w:sz w:val="32"/>
                <w:szCs w:val="32"/>
                <w:lang w:val="en-US" w:eastAsia="zh-CN" w:bidi="ar-SA"/>
              </w:rPr>
              <w:t>LED黑板灯</w:t>
            </w:r>
            <w:r>
              <w:rPr>
                <w:rFonts w:hint="eastAsia" w:ascii="仿宋" w:hAnsi="仿宋" w:eastAsia="仿宋" w:cs="Times New Roman"/>
                <w:color w:val="auto"/>
                <w:kern w:val="2"/>
                <w:sz w:val="32"/>
                <w:szCs w:val="32"/>
                <w:lang w:val="en-US" w:eastAsia="zh-CN" w:bidi="ar-SA"/>
              </w:rPr>
              <w:t>产品应</w:t>
            </w:r>
            <w:r>
              <w:rPr>
                <w:rFonts w:hint="eastAsia" w:ascii="Times New Roman" w:hAnsi="Times New Roman" w:eastAsia="仿宋_GB2312" w:cs="Times New Roman"/>
                <w:color w:val="auto"/>
                <w:sz w:val="32"/>
                <w:szCs w:val="32"/>
              </w:rPr>
              <w:t>具备教室优质照明光环境或健康教室照明光环境认证。</w:t>
            </w:r>
          </w:p>
          <w:p>
            <w:pP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注：（①第2-7项目应符合QB/T 5533的要求，提供QB/T 5533证书复印件；提供相关性能的CMA检测报告复印件，以上指标宜在一份报告中体现。</w:t>
            </w:r>
          </w:p>
          <w:p>
            <w:pP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②技术参数8-10项须提供封面具有CMA和CNAS标志的第三方检测机构检测报告复印件。</w:t>
            </w:r>
          </w:p>
          <w:p>
            <w:pPr>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 xml:space="preserve">③技术参数11-12项须提供第三方认证机构出具的认证证书复印件（证书上须体现产品型号及认证标准）及全国认证认可信息公共服务平台查询为“有效”状态的截图。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w:t>
            </w:r>
          </w:p>
        </w:tc>
        <w:tc>
          <w:tcPr>
            <w:tcW w:w="1273"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控制（含面板）方面等</w:t>
            </w:r>
          </w:p>
        </w:tc>
        <w:tc>
          <w:tcPr>
            <w:tcW w:w="7408" w:type="dxa"/>
          </w:tcPr>
          <w:p>
            <w:pP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1.终端面板全新且完全符合规定的质量、规格，清晰提示工作状态，美观安全。</w:t>
            </w:r>
          </w:p>
          <w:p>
            <w:pPr>
              <w:keepNext w:val="0"/>
              <w:keepLines w:val="0"/>
              <w:pageBreakBefore w:val="0"/>
              <w:widowControl w:val="0"/>
              <w:wordWrap/>
              <w:overflowPunct/>
              <w:topLinePunct w:val="0"/>
              <w:autoSpaceDE/>
              <w:autoSpaceDN/>
              <w:bidi w:val="0"/>
              <w:adjustRightInd/>
              <w:spacing w:line="580" w:lineRule="exact"/>
              <w:ind w:right="0" w:rightChars="0"/>
              <w:rPr>
                <w:rFonts w:hint="default" w:ascii="Times New Roman" w:hAnsi="Times New Roman" w:eastAsia="仿宋_GB2312" w:cs="Times New Roman"/>
                <w:sz w:val="32"/>
                <w:szCs w:val="32"/>
              </w:rPr>
            </w:pPr>
            <w:r>
              <w:rPr>
                <w:rFonts w:hint="eastAsia" w:ascii="仿宋" w:hAnsi="仿宋" w:eastAsia="仿宋" w:cs="Times New Roman"/>
                <w:kern w:val="2"/>
                <w:sz w:val="32"/>
                <w:szCs w:val="32"/>
                <w:lang w:val="en-US" w:eastAsia="zh-CN" w:bidi="ar-SA"/>
              </w:rPr>
              <w:t>2.</w:t>
            </w:r>
            <w:r>
              <w:rPr>
                <w:rFonts w:hint="default" w:ascii="Times New Roman" w:hAnsi="Times New Roman" w:eastAsia="仿宋_GB2312" w:cs="Times New Roman"/>
                <w:sz w:val="32"/>
                <w:szCs w:val="32"/>
              </w:rPr>
              <w:t>教室照明宜实现4组或以上的光照度场景：上课模式、课后模式、自习模式、多媒体教学模式，通过物理开关或软件实现不同光照度场景间的切换。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上课模式：教室灯、黑板灯全开；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课后模式：教室灯、黑板灯全关；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自习模式：教室灯全开、黑板灯全关；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多媒体模式: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a.投影幕布、电子白板：教室灯全开、同排关闭1盏黑板灯；</w:t>
            </w:r>
          </w:p>
          <w:p>
            <w:pPr>
              <w:ind w:firstLine="640" w:firstLineChars="200"/>
              <w:rPr>
                <w:rFonts w:hint="eastAsia" w:ascii="仿宋" w:hAnsi="仿宋" w:eastAsia="仿宋" w:cs="Times New Roman"/>
                <w:kern w:val="2"/>
                <w:sz w:val="32"/>
                <w:szCs w:val="32"/>
                <w:lang w:val="en-US" w:eastAsia="zh-CN" w:bidi="ar-SA"/>
              </w:rPr>
            </w:pPr>
            <w:r>
              <w:rPr>
                <w:rFonts w:hint="default" w:ascii="Times New Roman" w:hAnsi="Times New Roman" w:eastAsia="仿宋_GB2312" w:cs="Times New Roman"/>
                <w:kern w:val="0"/>
                <w:sz w:val="32"/>
                <w:szCs w:val="32"/>
                <w:lang w:val="en-US" w:eastAsia="zh-CN" w:bidi="ar-SA"/>
              </w:rPr>
              <w:t>b.一体机、智慧黑板：教室灯、黑板灯全开。</w:t>
            </w:r>
          </w:p>
          <w:p>
            <w:pPr>
              <w:keepNext w:val="0"/>
              <w:keepLines w:val="0"/>
              <w:pageBreakBefore w:val="0"/>
              <w:widowControl w:val="0"/>
              <w:wordWrap/>
              <w:overflowPunct/>
              <w:topLinePunct w:val="0"/>
              <w:autoSpaceDE/>
              <w:autoSpaceDN/>
              <w:bidi w:val="0"/>
              <w:adjustRightInd/>
              <w:snapToGrid w:val="0"/>
              <w:spacing w:line="580" w:lineRule="exact"/>
              <w:ind w:right="0" w:rightChars="0"/>
              <w:jc w:val="both"/>
              <w:outlineLvl w:val="0"/>
              <w:rPr>
                <w:rFonts w:hint="default" w:ascii="Times New Roman" w:hAnsi="Times New Roman" w:eastAsia="仿宋_GB2312" w:cs="Times New Roman"/>
                <w:sz w:val="32"/>
                <w:szCs w:val="32"/>
                <w:lang w:eastAsia="zh-Hans"/>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Hans"/>
              </w:rPr>
              <w:t>辅材要求：</w:t>
            </w:r>
            <w:r>
              <w:rPr>
                <w:rFonts w:hint="eastAsia" w:ascii="Times New Roman" w:hAnsi="Times New Roman" w:eastAsia="仿宋_GB2312" w:cs="Times New Roman"/>
                <w:sz w:val="32"/>
                <w:szCs w:val="32"/>
                <w:lang w:eastAsia="zh-Hans"/>
              </w:rPr>
              <w:fldChar w:fldCharType="begin"/>
            </w:r>
            <w:r>
              <w:rPr>
                <w:rFonts w:hint="eastAsia" w:ascii="Times New Roman" w:hAnsi="Times New Roman" w:eastAsia="仿宋_GB2312" w:cs="Times New Roman"/>
                <w:sz w:val="32"/>
                <w:szCs w:val="32"/>
                <w:lang w:eastAsia="zh-Hans"/>
              </w:rPr>
              <w:instrText xml:space="preserve"> = 1 \* GB3 \* MERGEFORMAT </w:instrText>
            </w:r>
            <w:r>
              <w:rPr>
                <w:rFonts w:hint="eastAsia" w:ascii="Times New Roman" w:hAnsi="Times New Roman" w:eastAsia="仿宋_GB2312" w:cs="Times New Roman"/>
                <w:sz w:val="32"/>
                <w:szCs w:val="32"/>
                <w:lang w:eastAsia="zh-Hans"/>
              </w:rPr>
              <w:fldChar w:fldCharType="separate"/>
            </w:r>
            <w:r>
              <w:t>①</w:t>
            </w:r>
            <w:r>
              <w:rPr>
                <w:rFonts w:hint="eastAsia" w:ascii="Times New Roman" w:hAnsi="Times New Roman" w:eastAsia="仿宋_GB2312" w:cs="Times New Roman"/>
                <w:sz w:val="32"/>
                <w:szCs w:val="32"/>
                <w:lang w:eastAsia="zh-Hans"/>
              </w:rPr>
              <w:fldChar w:fldCharType="end"/>
            </w:r>
            <w:r>
              <w:rPr>
                <w:rFonts w:hint="eastAsia" w:ascii="Times New Roman" w:hAnsi="Times New Roman" w:eastAsia="仿宋_GB2312" w:cs="Times New Roman"/>
                <w:sz w:val="32"/>
                <w:szCs w:val="32"/>
                <w:lang w:eastAsia="zh-Hans"/>
              </w:rPr>
              <w:t>室内主干线材（国标电源线）</w:t>
            </w:r>
          </w:p>
          <w:p>
            <w:pPr>
              <w:keepNext w:val="0"/>
              <w:keepLines w:val="0"/>
              <w:pageBreakBefore w:val="0"/>
              <w:widowControl w:val="0"/>
              <w:wordWrap/>
              <w:overflowPunct/>
              <w:topLinePunct w:val="0"/>
              <w:autoSpaceDE/>
              <w:autoSpaceDN/>
              <w:bidi w:val="0"/>
              <w:adjustRightInd/>
              <w:snapToGrid w:val="0"/>
              <w:spacing w:line="580" w:lineRule="exact"/>
              <w:ind w:right="0" w:rightChars="0"/>
              <w:jc w:val="both"/>
              <w:outlineLvl w:val="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单根电线不低于</w:t>
            </w:r>
            <w:r>
              <w:rPr>
                <w:rFonts w:hint="default" w:ascii="Times New Roman" w:hAnsi="Times New Roman" w:eastAsia="仿宋_GB2312" w:cs="Times New Roman"/>
                <w:sz w:val="32"/>
                <w:szCs w:val="32"/>
              </w:rPr>
              <w:t>2.5mm</w:t>
            </w:r>
            <w:r>
              <w:rPr>
                <w:rFonts w:hint="default"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lang w:eastAsia="zh-Hans"/>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导体材质：无氧铜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绝缘材质：环保聚氯乙烯（PVC）</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fldChar w:fldCharType="begin"/>
            </w:r>
            <w:r>
              <w:rPr>
                <w:rFonts w:hint="eastAsia" w:ascii="Times New Roman" w:hAnsi="Times New Roman" w:eastAsia="仿宋_GB2312" w:cs="Times New Roman"/>
                <w:sz w:val="32"/>
                <w:szCs w:val="32"/>
                <w:lang w:eastAsia="zh-CN"/>
              </w:rPr>
              <w:instrText xml:space="preserve"> = 2 \* GB3 \* MERGEFORMAT </w:instrText>
            </w:r>
            <w:r>
              <w:rPr>
                <w:rFonts w:hint="eastAsia" w:ascii="Times New Roman" w:hAnsi="Times New Roman" w:eastAsia="仿宋_GB2312" w:cs="Times New Roman"/>
                <w:sz w:val="32"/>
                <w:szCs w:val="32"/>
                <w:lang w:eastAsia="zh-CN"/>
              </w:rPr>
              <w:fldChar w:fldCharType="separate"/>
            </w:r>
            <w:r>
              <w:t>②</w:t>
            </w:r>
            <w:r>
              <w:rPr>
                <w:rFonts w:hint="eastAsia" w:ascii="Times New Roman" w:hAnsi="Times New Roman" w:eastAsia="仿宋_GB2312" w:cs="Times New Roman"/>
                <w:sz w:val="32"/>
                <w:szCs w:val="32"/>
                <w:lang w:eastAsia="zh-CN"/>
              </w:rPr>
              <w:fldChar w:fldCharType="end"/>
            </w:r>
            <w:r>
              <w:rPr>
                <w:rFonts w:hint="eastAsia" w:ascii="Times New Roman" w:hAnsi="Times New Roman" w:eastAsia="仿宋_GB2312" w:cs="Times New Roman"/>
                <w:sz w:val="32"/>
                <w:szCs w:val="32"/>
                <w:lang w:eastAsia="zh-Hans"/>
              </w:rPr>
              <w:t>室内支线线材（国标电源线）</w:t>
            </w:r>
            <w:r>
              <w:rPr>
                <w:rFonts w:hint="eastAsia" w:ascii="Times New Roman" w:hAnsi="Times New Roman" w:eastAsia="仿宋_GB2312" w:cs="Times New Roman"/>
                <w:sz w:val="32"/>
                <w:szCs w:val="32"/>
                <w:lang w:eastAsia="zh-CN"/>
              </w:rPr>
              <w:t>单根电线不低于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.5mm</w:t>
            </w:r>
            <w:r>
              <w:rPr>
                <w:rFonts w:hint="default"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lang w:eastAsia="zh-Hans"/>
              </w:rPr>
              <w:t xml:space="preserve"> </w:t>
            </w:r>
            <w:r>
              <w:rPr>
                <w:rFonts w:hint="eastAsia" w:ascii="Times New Roman" w:hAnsi="Times New Roman" w:eastAsia="仿宋_GB2312" w:cs="Times New Roman"/>
                <w:sz w:val="32"/>
                <w:szCs w:val="32"/>
                <w:lang w:eastAsia="zh-CN"/>
              </w:rPr>
              <w:t>，</w:t>
            </w:r>
          </w:p>
          <w:p>
            <w:pPr>
              <w:keepNext w:val="0"/>
              <w:keepLines w:val="0"/>
              <w:pageBreakBefore w:val="0"/>
              <w:widowControl w:val="0"/>
              <w:wordWrap/>
              <w:overflowPunct/>
              <w:topLinePunct w:val="0"/>
              <w:autoSpaceDE/>
              <w:autoSpaceDN/>
              <w:bidi w:val="0"/>
              <w:adjustRightInd/>
              <w:snapToGrid w:val="0"/>
              <w:spacing w:line="580" w:lineRule="exact"/>
              <w:ind w:right="0" w:rightChars="0"/>
              <w:jc w:val="both"/>
              <w:outlineLvl w:val="0"/>
              <w:rPr>
                <w:rFonts w:hint="eastAsia" w:eastAsia="仿宋_GB2312"/>
                <w:lang w:val="en-US" w:eastAsia="zh-CN"/>
              </w:rPr>
            </w:pPr>
            <w:r>
              <w:rPr>
                <w:rFonts w:hint="eastAsia" w:ascii="Times New Roman" w:hAnsi="Times New Roman" w:eastAsia="仿宋_GB2312" w:cs="Times New Roman"/>
                <w:sz w:val="32"/>
                <w:szCs w:val="32"/>
                <w:lang w:eastAsia="zh-Hans"/>
              </w:rPr>
              <w:t>导体材质：无氧铜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绝缘材质：环保聚氯乙烯（PVC）</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fldChar w:fldCharType="begin"/>
            </w:r>
            <w:r>
              <w:rPr>
                <w:rFonts w:hint="eastAsia" w:ascii="Times New Roman" w:hAnsi="Times New Roman" w:eastAsia="仿宋_GB2312" w:cs="Times New Roman"/>
                <w:sz w:val="32"/>
                <w:szCs w:val="32"/>
                <w:lang w:eastAsia="zh-CN"/>
              </w:rPr>
              <w:instrText xml:space="preserve"> = 3 \* GB3 \* MERGEFORMAT </w:instrText>
            </w:r>
            <w:r>
              <w:rPr>
                <w:rFonts w:hint="eastAsia" w:ascii="Times New Roman" w:hAnsi="Times New Roman" w:eastAsia="仿宋_GB2312" w:cs="Times New Roman"/>
                <w:sz w:val="32"/>
                <w:szCs w:val="32"/>
                <w:lang w:eastAsia="zh-CN"/>
              </w:rPr>
              <w:fldChar w:fldCharType="separate"/>
            </w:r>
            <w:r>
              <w:t>③</w:t>
            </w:r>
            <w:r>
              <w:rPr>
                <w:rFonts w:hint="eastAsia" w:ascii="Times New Roman" w:hAnsi="Times New Roman" w:eastAsia="仿宋_GB2312" w:cs="Times New Roman"/>
                <w:sz w:val="32"/>
                <w:szCs w:val="32"/>
                <w:lang w:eastAsia="zh-CN"/>
              </w:rPr>
              <w:fldChar w:fldCharType="end"/>
            </w:r>
            <w:r>
              <w:rPr>
                <w:rFonts w:hint="eastAsia" w:ascii="Times New Roman" w:hAnsi="Times New Roman" w:eastAsia="仿宋_GB2312" w:cs="Times New Roman"/>
                <w:sz w:val="32"/>
                <w:szCs w:val="32"/>
                <w:lang w:eastAsia="zh-Hans"/>
              </w:rPr>
              <w:t>灯控开关（国标）额定电压(v)：≥220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Hans"/>
              </w:rPr>
              <w:t>额定电流(A)：≥10</w:t>
            </w:r>
            <w:r>
              <w:rPr>
                <w:rFonts w:hint="eastAsia" w:ascii="Times New Roman" w:hAnsi="Times New Roman" w:eastAsia="仿宋_GB2312" w:cs="Times New Roman"/>
                <w:sz w:val="32"/>
                <w:szCs w:val="32"/>
                <w:lang w:eastAsia="zh-CN"/>
              </w:rPr>
              <w:t>。</w:t>
            </w:r>
          </w:p>
          <w:p>
            <w:pPr>
              <w:keepNext w:val="0"/>
              <w:keepLines w:val="0"/>
              <w:pageBreakBefore w:val="0"/>
              <w:widowControl w:val="0"/>
              <w:wordWrap/>
              <w:overflowPunct/>
              <w:topLinePunct w:val="0"/>
              <w:autoSpaceDE/>
              <w:autoSpaceDN/>
              <w:bidi w:val="0"/>
              <w:adjustRightInd/>
              <w:snapToGrid w:val="0"/>
              <w:spacing w:line="580" w:lineRule="exact"/>
              <w:ind w:right="0" w:rightChars="0"/>
              <w:jc w:val="both"/>
              <w:outlineLvl w:val="0"/>
              <w:rPr>
                <w:rFonts w:hint="eastAsia"/>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Hans"/>
              </w:rPr>
              <w:t>刚性中空铝合金吊杆，吊杆直径≥12mm、壁厚≥1mm，能容纳灯具导线，表面采用阳极氧化或喷塑处理</w:t>
            </w:r>
            <w:r>
              <w:rPr>
                <w:rFonts w:hint="eastAsia" w:ascii="Times New Roman" w:hAnsi="Times New Roman" w:eastAsia="仿宋_GB2312" w:cs="Times New Roman"/>
                <w:sz w:val="32"/>
                <w:szCs w:val="32"/>
                <w:lang w:eastAsia="zh-CN"/>
              </w:rPr>
              <w:t>。</w:t>
            </w:r>
          </w:p>
          <w:p>
            <w:pPr>
              <w:keepNext w:val="0"/>
              <w:keepLines w:val="0"/>
              <w:pageBreakBefore w:val="0"/>
              <w:widowControl w:val="0"/>
              <w:wordWrap/>
              <w:overflowPunct/>
              <w:topLinePunct w:val="0"/>
              <w:autoSpaceDE/>
              <w:autoSpaceDN/>
              <w:bidi w:val="0"/>
              <w:adjustRightInd/>
              <w:snapToGrid w:val="0"/>
              <w:spacing w:line="580" w:lineRule="exact"/>
              <w:ind w:right="0" w:rightChars="0"/>
              <w:jc w:val="both"/>
              <w:outlineLvl w:val="0"/>
              <w:rPr>
                <w:rFonts w:hint="eastAsia" w:ascii="仿宋" w:hAnsi="仿宋" w:eastAsia="仿宋"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灯具产品应便于后期维护，应实现安全、快速更换。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top"/>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w:t>
            </w:r>
          </w:p>
        </w:tc>
        <w:tc>
          <w:tcPr>
            <w:tcW w:w="1273" w:type="dxa"/>
            <w:vAlign w:val="top"/>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服务方面等</w:t>
            </w:r>
          </w:p>
        </w:tc>
        <w:tc>
          <w:tcPr>
            <w:tcW w:w="7408" w:type="dxa"/>
            <w:vAlign w:val="top"/>
          </w:tcPr>
          <w:p>
            <w:pPr>
              <w:numPr>
                <w:ilvl w:val="0"/>
                <w:numId w:val="0"/>
              </w:numPr>
              <w:ind w:leftChars="0"/>
              <w:rPr>
                <w:rFonts w:hint="default"/>
                <w:lang w:val="en-US" w:eastAsia="zh-CN"/>
              </w:rPr>
            </w:pPr>
            <w:r>
              <w:rPr>
                <w:rFonts w:hint="eastAsia" w:ascii="仿宋" w:hAnsi="仿宋" w:eastAsia="仿宋" w:cs="Times New Roman"/>
                <w:kern w:val="2"/>
                <w:sz w:val="32"/>
                <w:szCs w:val="32"/>
                <w:lang w:val="en-US" w:eastAsia="zh-CN" w:bidi="ar-SA"/>
              </w:rPr>
              <w:t>1、须配有统一的7×24小时客户故障处理热线，一般故障处理不超过24小时，重大设备故障处理时限不超过48小时，如48小时内无法解决，须提供备用产品供用户使用。投标人须提供承诺函并加盖投标人公章。</w:t>
            </w:r>
          </w:p>
          <w:p>
            <w:pP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2、提供售后服务方案，包括: 售前、售中及售后服务，内容完善、响应及时。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44" w:type="dxa"/>
          </w:tcPr>
          <w:p>
            <w:pPr>
              <w:jc w:val="center"/>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w:t>
            </w:r>
          </w:p>
        </w:tc>
        <w:tc>
          <w:tcPr>
            <w:tcW w:w="1273" w:type="dxa"/>
          </w:tcPr>
          <w:p>
            <w:pPr>
              <w:jc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u w:val="none"/>
                <w:lang w:val="en-US" w:eastAsia="zh-CN" w:bidi="ar-SA"/>
              </w:rPr>
              <w:t>样品</w:t>
            </w:r>
          </w:p>
        </w:tc>
        <w:tc>
          <w:tcPr>
            <w:tcW w:w="7408" w:type="dxa"/>
          </w:tcPr>
          <w:p>
            <w:pPr>
              <w:pStyle w:val="3"/>
              <w:ind w:left="0" w:leftChars="0" w:firstLine="0" w:firstLineChars="0"/>
              <w:rPr>
                <w:rFonts w:hint="eastAsia" w:ascii="仿宋" w:hAnsi="仿宋" w:eastAsia="仿宋" w:cs="Times New Roman"/>
                <w:kern w:val="2"/>
                <w:sz w:val="32"/>
                <w:szCs w:val="32"/>
                <w:lang w:val="en-US" w:eastAsia="zh-CN" w:bidi="ar-SA"/>
              </w:rPr>
            </w:pPr>
            <w:r>
              <w:rPr>
                <w:rFonts w:hint="eastAsia" w:ascii="仿宋" w:hAnsi="仿宋" w:eastAsia="仿宋" w:cs="Times New Roman"/>
                <w:b w:val="0"/>
                <w:color w:val="auto"/>
                <w:kern w:val="2"/>
                <w:sz w:val="32"/>
                <w:szCs w:val="32"/>
                <w:lang w:val="en-US" w:eastAsia="zh-CN" w:bidi="ar-SA"/>
              </w:rPr>
              <w:t>为保证产品品质满足福建省六年质保，投标人按参数要求提供实物样品：教室灯、黑板灯、场景开关各1件，并现场点亮灯具；根据投标人提供的样品质量、整体牢固结构、尺寸、规格、材质、工艺、款式、眼睛舒适度等是否满足功能性要求及安全性设计，细节人性化以及跟提供投标文件的吻合度等横向比较，进行现场评审，做为选择投标人的重要依据，如投标人中标，做为封样样品。</w:t>
            </w:r>
          </w:p>
        </w:tc>
      </w:tr>
    </w:tbl>
    <w:p>
      <w:pPr>
        <w:pStyle w:val="9"/>
        <w:widowControl/>
        <w:spacing w:beforeAutospacing="0" w:afterAutospacing="0" w:line="400" w:lineRule="exact"/>
        <w:rPr>
          <w:rFonts w:hint="eastAsia" w:ascii="仿宋" w:hAnsi="仿宋" w:eastAsia="仿宋"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pacing w:line="460" w:lineRule="exact"/>
        <w:jc w:val="left"/>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（二）总体要求</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1、本项目所称的“教室”均指普通教室（包括有电子白板、投影等多媒体显示终端的普通教室）。</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2、教室照明产品及教室照明环境的技术指标参照GB 7793、GB/T 36876、GB 40070、GB 50034、GB 50099、T/JYBZ 005等的相关内容执行。</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3、教室照明设计安装充分考虑儿童青少年生长发育特点，结合近视防控需求、建筑结构条件以及教室现有设备位置等实际情况，安装过程须符合相关工程规范。</w:t>
      </w:r>
    </w:p>
    <w:p>
      <w:pPr>
        <w:keepNext w:val="0"/>
        <w:keepLines w:val="0"/>
        <w:pageBreakBefore w:val="0"/>
        <w:kinsoku/>
        <w:wordWrap/>
        <w:overflowPunct/>
        <w:topLinePunct w:val="0"/>
        <w:autoSpaceDE/>
        <w:autoSpaceDN/>
        <w:bidi w:val="0"/>
        <w:adjustRightInd/>
        <w:snapToGrid w:val="0"/>
        <w:spacing w:line="460" w:lineRule="exact"/>
        <w:jc w:val="left"/>
        <w:outlineLvl w:val="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（三）设计要求</w:t>
      </w:r>
    </w:p>
    <w:p>
      <w:pPr>
        <w:keepNext w:val="0"/>
        <w:keepLines w:val="0"/>
        <w:pageBreakBefore w:val="0"/>
        <w:kinsoku/>
        <w:wordWrap/>
        <w:overflowPunct/>
        <w:topLinePunct w:val="0"/>
        <w:autoSpaceDE/>
        <w:autoSpaceDN/>
        <w:bidi w:val="0"/>
        <w:adjustRightInd/>
        <w:spacing w:line="460" w:lineRule="exact"/>
        <w:ind w:firstLine="640" w:firstLineChars="200"/>
        <w:jc w:val="left"/>
        <w:textAlignment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在灯具安装之前，供应商应提供完整的产品检测报告复印件（加盖公章）；提供完整的照明设计方案，设计方案应覆盖所有改造的教室，其中教室尺寸、布局方式等应与学校实际情况一致，应充分考虑每间教室的房屋结构、风扇、投影仪等影响安装位置的情况，并由专业光环境模拟软件生成模拟报表，以及包括灯具施工安装平面图、灯具施工电路图。设计方案中必须包含以下要素：</w:t>
      </w:r>
    </w:p>
    <w:p>
      <w:pPr>
        <w:keepNext w:val="0"/>
        <w:keepLines w:val="0"/>
        <w:pageBreakBefore w:val="0"/>
        <w:kinsoku/>
        <w:wordWrap/>
        <w:overflowPunct/>
        <w:topLinePunct w:val="0"/>
        <w:autoSpaceDE/>
        <w:autoSpaceDN/>
        <w:bidi w:val="0"/>
        <w:adjustRightInd/>
        <w:spacing w:line="460" w:lineRule="exact"/>
        <w:ind w:firstLine="640" w:firstLineChars="200"/>
        <w:jc w:val="left"/>
        <w:textAlignment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1.灯具型号和配光图，且必须和灯具检测报告一致。</w:t>
      </w:r>
    </w:p>
    <w:p>
      <w:pPr>
        <w:keepNext w:val="0"/>
        <w:keepLines w:val="0"/>
        <w:pageBreakBefore w:val="0"/>
        <w:kinsoku/>
        <w:wordWrap/>
        <w:overflowPunct/>
        <w:topLinePunct w:val="0"/>
        <w:autoSpaceDE/>
        <w:autoSpaceDN/>
        <w:bidi w:val="0"/>
        <w:adjustRightInd/>
        <w:spacing w:line="460" w:lineRule="exact"/>
        <w:ind w:firstLine="640" w:firstLineChars="200"/>
        <w:jc w:val="left"/>
        <w:textAlignment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2.教室的长、宽、高尺寸，并用图示或位置坐标表示所有灯具的安装位置。</w:t>
      </w:r>
    </w:p>
    <w:p>
      <w:pPr>
        <w:keepNext w:val="0"/>
        <w:keepLines w:val="0"/>
        <w:pageBreakBefore w:val="0"/>
        <w:kinsoku/>
        <w:wordWrap/>
        <w:overflowPunct/>
        <w:topLinePunct w:val="0"/>
        <w:autoSpaceDE/>
        <w:autoSpaceDN/>
        <w:bidi w:val="0"/>
        <w:adjustRightInd/>
        <w:spacing w:line="460" w:lineRule="exact"/>
        <w:ind w:firstLine="640" w:firstLineChars="200"/>
        <w:jc w:val="left"/>
        <w:textAlignment w:val="center"/>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3.模拟结果参数应不少于：教室维持平均照度及照度均匀度、黑板维持平均照度及照度均匀度、眩光、照明功率密度等，设计方案计算结果应满足教室照明要求。</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根据照明设计方案中的安装要求，完成样板间的安装施工，依据本文件中的验收检测方法委托有CMA资质的省级及以上第三方检测机构进行检测，验证设计方案的性能效果，如实测的初始平均照度及均匀度超出设计值的±10%，需要再次校验教室灯光效果模型并优化灯具配置方案，优化后的方案作为批量安装的依据。</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jc w:val="left"/>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（四）安装施工要求</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1、教室照明有分路控制措施，有多媒体显示终端的第一横排教室灯宜有单独回路开关控制，余下每一纵列或横排教室灯实现单独回路开关控制，每个黑板灯有单独回路开关控制。</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2、通过调整灯具控照角度避免黑板灯对教师产生直接眩光，且不在多媒体教学显示终端上产生高亮度的光源影像，以免对学生产生反射眩光。</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3、教室灯具出光面低于吊扇，且使用刚性安装，灯具距课桌面的最低悬挂高度为1.7m。</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4、机械物理开关中的控制线必须是火线，禁止使用控制零线通断回路的方式；且I类照明装置必须连接地线。</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5、对施工中风扇、投影仪等影响安装位置的，如需拆卸应修复，造成的教室损坏应修复。</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6、改造工程配套的线路、管道、设备安装等满足国家及我省相关规范规定要求。</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安装完成之后，对所有完成的教室进行自查，自查按《2023年福建省中小学校近视防控教室照明改造工程技术指引》至少检测教室照度及照度均匀度、黑板照度及照度均匀度并记录检测结果，如不满足规范要求的及时调整。</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b/>
          <w:bCs/>
          <w:kern w:val="2"/>
          <w:sz w:val="32"/>
          <w:szCs w:val="32"/>
          <w:lang w:val="en-US" w:eastAsia="zh-CN" w:bidi="ar-SA"/>
        </w:rPr>
        <w:t>（五）验收要求</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1、核验灯具的“CCC”产品认证证书及性能检测报告；提供一份完整的证书复印件，加盖投标人印章。</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委托有CMA资质的省级及以上第三方检测机构对实施灯光改造的教室进行抽样现场检测，出具CMA检测报告。检测项目至少包含教室桌面上的平均照度和照度均匀度，黑板面上的平均照度和照度均匀度，教室照明功率密度，统一眩光值，色温及显色指数等指标。采购人参与教室抽检，抽测教室比例不低于该项目教室总数的3%，且至少抽测一间教室（样板间教室不纳入计算）。</w:t>
      </w:r>
    </w:p>
    <w:p>
      <w:pPr>
        <w:keepNext w:val="0"/>
        <w:keepLines w:val="0"/>
        <w:pageBreakBefore w:val="0"/>
        <w:kinsoku/>
        <w:wordWrap/>
        <w:overflowPunct/>
        <w:topLinePunct w:val="0"/>
        <w:autoSpaceDE/>
        <w:autoSpaceDN/>
        <w:bidi w:val="0"/>
        <w:adjustRightInd/>
        <w:snapToGrid w:val="0"/>
        <w:spacing w:line="460" w:lineRule="exact"/>
        <w:jc w:val="left"/>
        <w:outlineLvl w:val="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（六）现场检测方法</w:t>
      </w:r>
    </w:p>
    <w:p>
      <w:pPr>
        <w:keepNext w:val="0"/>
        <w:keepLines w:val="0"/>
        <w:pageBreakBefore w:val="0"/>
        <w:kinsoku/>
        <w:wordWrap/>
        <w:overflowPunct/>
        <w:topLinePunct w:val="0"/>
        <w:autoSpaceDE/>
        <w:autoSpaceDN/>
        <w:bidi w:val="0"/>
        <w:adjustRightInd/>
        <w:spacing w:line="460" w:lineRule="exact"/>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现场检测应在没有天然光和其他非被测光源影响下进行，应排除杂散光射入光接受器，并应防止各类人员和物体对光接受器造成遮挡。现场进行照明测试时，LED灯具在燃点15min后进行，测试人员应具有相应的资质和能力，测试设备应经过校准并在有效期内。</w:t>
      </w:r>
    </w:p>
    <w:p>
      <w:pPr>
        <w:keepNext w:val="0"/>
        <w:keepLines w:val="0"/>
        <w:pageBreakBefore w:val="0"/>
        <w:kinsoku/>
        <w:wordWrap/>
        <w:overflowPunct/>
        <w:topLinePunct w:val="0"/>
        <w:autoSpaceDE/>
        <w:autoSpaceDN/>
        <w:bidi w:val="0"/>
        <w:adjustRightInd/>
        <w:spacing w:line="460" w:lineRule="exact"/>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现场检测内容包括：课桌面平均照度和照度均匀度、黑板平均照度和照度均匀度、统一眩光值、照明功率密度、灯具色温和显色指数等，上述内容宜按T/JYBZ 025规定的方法进行测试。</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jc w:val="left"/>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（七）售后质保及维护要求</w:t>
      </w:r>
    </w:p>
    <w:p>
      <w:pPr>
        <w:pStyle w:val="9"/>
        <w:keepNext w:val="0"/>
        <w:keepLines w:val="0"/>
        <w:pageBreakBefore w:val="0"/>
        <w:kinsoku/>
        <w:wordWrap/>
        <w:overflowPunct/>
        <w:topLinePunct w:val="0"/>
        <w:autoSpaceDE/>
        <w:autoSpaceDN/>
        <w:bidi w:val="0"/>
        <w:adjustRightInd/>
        <w:spacing w:before="0" w:beforeAutospacing="0" w:after="0" w:afterAutospacing="0" w:line="460" w:lineRule="exact"/>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1、质量保证期为验收合格后6年，从最终验收合格双方签字之日起计算。在免费质量保证期内如出现故障，免费提供咨询、维修、更换等服务。</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2、在质保期内，保证课桌面照度及均匀度、黑板面照度及均匀度、统一眩光值、功率密度、色温和显色指数等教室光环境指标达到国标及《2023年福建省中小学校近视防控教室照明改造工程技术指引》要求。</w:t>
      </w:r>
    </w:p>
    <w:p>
      <w:pPr>
        <w:pStyle w:val="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firstLine="48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在质保期内每学年对教室照明光环境情况进行检测（费用由供应商承担），并做好检测记录。对光环境不达标教室，要及时查找原因，进行规范整改。检测委托有CMA资质的省级及以上第三方检测机构进行，抽测教室比例不低于该项目教室总数的2%，且至少抽测一间教室。具体检测项目至少包含课桌面照度及均匀度、黑板面照度及均匀度、统一眩光值、功率密度、色温和显色指数等指标，且相对于前一年的平均照度维持率应≥95%。同时复测每种类型灯具各一盏，检测项目包括蓝光危害、闪烁指标等，检测结果均应符合《2023年福建省中小学校近视防控教室照明改造工程技术指引》要求。</w:t>
      </w:r>
    </w:p>
    <w:p>
      <w:pPr>
        <w:keepNext w:val="0"/>
        <w:keepLines w:val="0"/>
        <w:pageBreakBefore w:val="0"/>
        <w:widowControl/>
        <w:kinsoku/>
        <w:wordWrap/>
        <w:overflowPunct/>
        <w:topLinePunct w:val="0"/>
        <w:autoSpaceDE/>
        <w:autoSpaceDN/>
        <w:bidi w:val="0"/>
        <w:adjustRightInd/>
        <w:spacing w:line="460" w:lineRule="exact"/>
        <w:jc w:val="left"/>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（八）技术培训</w:t>
      </w:r>
    </w:p>
    <w:p>
      <w:pPr>
        <w:keepNext w:val="0"/>
        <w:keepLines w:val="0"/>
        <w:pageBreakBefore w:val="0"/>
        <w:widowControl/>
        <w:kinsoku/>
        <w:wordWrap/>
        <w:overflowPunct/>
        <w:topLinePunct w:val="0"/>
        <w:autoSpaceDE/>
        <w:autoSpaceDN/>
        <w:bidi w:val="0"/>
        <w:adjustRightInd/>
        <w:spacing w:line="460" w:lineRule="exact"/>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在本次采购产品安装、调试等阶段，同步免费对采购单位的相关人员进行基本知识、操作使用、维护等方面的现场技术培训，使受训人员能熟练掌握项目的相关知识，以保证产品售后的良好运行状态。</w:t>
      </w:r>
    </w:p>
    <w:p>
      <w:pPr>
        <w:pStyle w:val="9"/>
        <w:keepNext w:val="0"/>
        <w:keepLines w:val="0"/>
        <w:pageBreakBefore w:val="0"/>
        <w:widowControl/>
        <w:kinsoku/>
        <w:wordWrap/>
        <w:overflowPunct/>
        <w:topLinePunct w:val="0"/>
        <w:autoSpaceDE/>
        <w:autoSpaceDN/>
        <w:bidi w:val="0"/>
        <w:adjustRightInd/>
        <w:spacing w:beforeAutospacing="0" w:afterAutospacing="0" w:line="460" w:lineRule="exact"/>
        <w:jc w:val="left"/>
        <w:rPr>
          <w:rFonts w:hint="eastAsia" w:ascii="仿宋" w:hAnsi="仿宋" w:eastAsia="仿宋" w:cs="Times New Roman"/>
          <w:kern w:val="2"/>
          <w:sz w:val="32"/>
          <w:szCs w:val="32"/>
          <w:lang w:val="en-US" w:eastAsia="zh-CN" w:bidi="ar-SA"/>
        </w:rPr>
      </w:pPr>
    </w:p>
    <w:p>
      <w:pPr>
        <w:pStyle w:val="9"/>
        <w:widowControl/>
        <w:spacing w:beforeAutospacing="0" w:afterAutospacing="0" w:line="400" w:lineRule="exact"/>
        <w:ind w:firstLine="640" w:firstLineChars="200"/>
        <w:rPr>
          <w:rFonts w:hint="eastAsia" w:ascii="仿宋" w:hAnsi="仿宋" w:eastAsia="仿宋" w:cs="Times New Roman"/>
          <w:kern w:val="2"/>
          <w:sz w:val="32"/>
          <w:szCs w:val="32"/>
          <w:lang w:val="en-US" w:eastAsia="zh-CN" w:bidi="ar-SA"/>
        </w:rPr>
      </w:pPr>
    </w:p>
    <w:p>
      <w:pPr>
        <w:pStyle w:val="9"/>
        <w:widowControl/>
        <w:spacing w:beforeAutospacing="0" w:afterAutospacing="0" w:line="4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                                永春县教育局</w:t>
      </w:r>
    </w:p>
    <w:p>
      <w:pPr>
        <w:pStyle w:val="9"/>
        <w:widowControl/>
        <w:spacing w:beforeAutospacing="0" w:afterAutospacing="0" w:line="4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2024年8月21日</w:t>
      </w:r>
    </w:p>
    <w:sectPr>
      <w:pgSz w:w="11906" w:h="16838"/>
      <w:pgMar w:top="124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DD8F9"/>
    <w:multiLevelType w:val="singleLevel"/>
    <w:tmpl w:val="A65DD8F9"/>
    <w:lvl w:ilvl="0" w:tentative="0">
      <w:start w:val="1"/>
      <w:numFmt w:val="decimal"/>
      <w:suff w:val="nothing"/>
      <w:lvlText w:val="%1、"/>
      <w:lvlJc w:val="left"/>
    </w:lvl>
  </w:abstractNum>
  <w:abstractNum w:abstractNumId="1">
    <w:nsid w:val="001EF484"/>
    <w:multiLevelType w:val="singleLevel"/>
    <w:tmpl w:val="001EF484"/>
    <w:lvl w:ilvl="0" w:tentative="0">
      <w:start w:val="1"/>
      <w:numFmt w:val="decimal"/>
      <w:suff w:val="nothing"/>
      <w:lvlText w:val="%1、"/>
      <w:lvlJc w:val="left"/>
    </w:lvl>
  </w:abstractNum>
  <w:abstractNum w:abstractNumId="2">
    <w:nsid w:val="40AFB406"/>
    <w:multiLevelType w:val="singleLevel"/>
    <w:tmpl w:val="40AFB40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Tg3YTZlM2YzYmM0YTY0YTAzYzg4MmYxMTk4YjYifQ=="/>
  </w:docVars>
  <w:rsids>
    <w:rsidRoot w:val="7CD06D3E"/>
    <w:rsid w:val="00020091"/>
    <w:rsid w:val="000364C8"/>
    <w:rsid w:val="00045593"/>
    <w:rsid w:val="000519D6"/>
    <w:rsid w:val="0006559D"/>
    <w:rsid w:val="00074E70"/>
    <w:rsid w:val="00096AC8"/>
    <w:rsid w:val="000B1ABE"/>
    <w:rsid w:val="000C060B"/>
    <w:rsid w:val="000C667C"/>
    <w:rsid w:val="0010394A"/>
    <w:rsid w:val="0010691D"/>
    <w:rsid w:val="00114FAB"/>
    <w:rsid w:val="00115573"/>
    <w:rsid w:val="00143FAE"/>
    <w:rsid w:val="001546C8"/>
    <w:rsid w:val="001804B9"/>
    <w:rsid w:val="00194754"/>
    <w:rsid w:val="00197424"/>
    <w:rsid w:val="001A1317"/>
    <w:rsid w:val="001C0F42"/>
    <w:rsid w:val="001C3CFC"/>
    <w:rsid w:val="001D37FA"/>
    <w:rsid w:val="001D413B"/>
    <w:rsid w:val="002048DE"/>
    <w:rsid w:val="00207B20"/>
    <w:rsid w:val="002115E1"/>
    <w:rsid w:val="00216F70"/>
    <w:rsid w:val="00230644"/>
    <w:rsid w:val="00297330"/>
    <w:rsid w:val="002A4E6F"/>
    <w:rsid w:val="002B0E1D"/>
    <w:rsid w:val="002C5627"/>
    <w:rsid w:val="002D03A2"/>
    <w:rsid w:val="002F0A9F"/>
    <w:rsid w:val="00321375"/>
    <w:rsid w:val="00340282"/>
    <w:rsid w:val="003419FB"/>
    <w:rsid w:val="00367A70"/>
    <w:rsid w:val="00371936"/>
    <w:rsid w:val="003A2F4F"/>
    <w:rsid w:val="003A65FF"/>
    <w:rsid w:val="003B1988"/>
    <w:rsid w:val="003B23AD"/>
    <w:rsid w:val="003B2E7F"/>
    <w:rsid w:val="003B7414"/>
    <w:rsid w:val="00410222"/>
    <w:rsid w:val="00461A39"/>
    <w:rsid w:val="004721C1"/>
    <w:rsid w:val="004767B7"/>
    <w:rsid w:val="00481AA7"/>
    <w:rsid w:val="00486FF0"/>
    <w:rsid w:val="004C44FD"/>
    <w:rsid w:val="004D3873"/>
    <w:rsid w:val="004E027A"/>
    <w:rsid w:val="00554552"/>
    <w:rsid w:val="005720D8"/>
    <w:rsid w:val="00576920"/>
    <w:rsid w:val="005A2D64"/>
    <w:rsid w:val="005A3D78"/>
    <w:rsid w:val="005B17FD"/>
    <w:rsid w:val="005B7F39"/>
    <w:rsid w:val="005D02FD"/>
    <w:rsid w:val="005E50EF"/>
    <w:rsid w:val="00601581"/>
    <w:rsid w:val="00602151"/>
    <w:rsid w:val="00602D29"/>
    <w:rsid w:val="0060565F"/>
    <w:rsid w:val="00611B90"/>
    <w:rsid w:val="00613370"/>
    <w:rsid w:val="00626DF0"/>
    <w:rsid w:val="00632402"/>
    <w:rsid w:val="00633985"/>
    <w:rsid w:val="00646965"/>
    <w:rsid w:val="00663A7F"/>
    <w:rsid w:val="00675430"/>
    <w:rsid w:val="006813A9"/>
    <w:rsid w:val="00696934"/>
    <w:rsid w:val="006B3A50"/>
    <w:rsid w:val="006B794A"/>
    <w:rsid w:val="006C5320"/>
    <w:rsid w:val="006D3D24"/>
    <w:rsid w:val="007402C9"/>
    <w:rsid w:val="007442A4"/>
    <w:rsid w:val="0076252B"/>
    <w:rsid w:val="00786F9A"/>
    <w:rsid w:val="007905C8"/>
    <w:rsid w:val="007C5BB2"/>
    <w:rsid w:val="007D20BB"/>
    <w:rsid w:val="007F2802"/>
    <w:rsid w:val="008061E5"/>
    <w:rsid w:val="0080792A"/>
    <w:rsid w:val="0081700A"/>
    <w:rsid w:val="008244AA"/>
    <w:rsid w:val="00827FDF"/>
    <w:rsid w:val="008333BE"/>
    <w:rsid w:val="008604D6"/>
    <w:rsid w:val="008F433B"/>
    <w:rsid w:val="00903026"/>
    <w:rsid w:val="00903F12"/>
    <w:rsid w:val="00911716"/>
    <w:rsid w:val="009429A0"/>
    <w:rsid w:val="00987AAB"/>
    <w:rsid w:val="009B51B9"/>
    <w:rsid w:val="009D7E26"/>
    <w:rsid w:val="009F69CA"/>
    <w:rsid w:val="00A151CF"/>
    <w:rsid w:val="00A16F9C"/>
    <w:rsid w:val="00A33343"/>
    <w:rsid w:val="00A47C33"/>
    <w:rsid w:val="00A56DE8"/>
    <w:rsid w:val="00A64CDC"/>
    <w:rsid w:val="00A668A1"/>
    <w:rsid w:val="00A734CD"/>
    <w:rsid w:val="00A735E4"/>
    <w:rsid w:val="00AB5AFA"/>
    <w:rsid w:val="00AC0A08"/>
    <w:rsid w:val="00AE4F5D"/>
    <w:rsid w:val="00AF2F41"/>
    <w:rsid w:val="00AF4936"/>
    <w:rsid w:val="00B0669A"/>
    <w:rsid w:val="00B31783"/>
    <w:rsid w:val="00B7007D"/>
    <w:rsid w:val="00BB5C30"/>
    <w:rsid w:val="00BE2DAD"/>
    <w:rsid w:val="00C02280"/>
    <w:rsid w:val="00C121DB"/>
    <w:rsid w:val="00C13530"/>
    <w:rsid w:val="00C415AB"/>
    <w:rsid w:val="00C5351F"/>
    <w:rsid w:val="00CA02D0"/>
    <w:rsid w:val="00CD2E43"/>
    <w:rsid w:val="00CD7E33"/>
    <w:rsid w:val="00D01B63"/>
    <w:rsid w:val="00D047F3"/>
    <w:rsid w:val="00D05D5F"/>
    <w:rsid w:val="00D06572"/>
    <w:rsid w:val="00D20E4F"/>
    <w:rsid w:val="00D65F2A"/>
    <w:rsid w:val="00D85B4B"/>
    <w:rsid w:val="00DC082C"/>
    <w:rsid w:val="00DE0FD4"/>
    <w:rsid w:val="00DE1090"/>
    <w:rsid w:val="00E47B89"/>
    <w:rsid w:val="00E6236D"/>
    <w:rsid w:val="00E64740"/>
    <w:rsid w:val="00E757DF"/>
    <w:rsid w:val="00E97E1D"/>
    <w:rsid w:val="00EA4436"/>
    <w:rsid w:val="00ED6FB7"/>
    <w:rsid w:val="00EE1CDB"/>
    <w:rsid w:val="00F3664D"/>
    <w:rsid w:val="00F63B9B"/>
    <w:rsid w:val="00F707E7"/>
    <w:rsid w:val="00F86A7C"/>
    <w:rsid w:val="00FB49E8"/>
    <w:rsid w:val="00FD691D"/>
    <w:rsid w:val="01F64027"/>
    <w:rsid w:val="029355FD"/>
    <w:rsid w:val="02BD28BB"/>
    <w:rsid w:val="04820ADC"/>
    <w:rsid w:val="04AC7907"/>
    <w:rsid w:val="04B107A2"/>
    <w:rsid w:val="04DF3003"/>
    <w:rsid w:val="06F66CFB"/>
    <w:rsid w:val="08814300"/>
    <w:rsid w:val="08BD5E23"/>
    <w:rsid w:val="08CE6196"/>
    <w:rsid w:val="08DE04B9"/>
    <w:rsid w:val="09B421E7"/>
    <w:rsid w:val="09CA440C"/>
    <w:rsid w:val="0C1F4E62"/>
    <w:rsid w:val="0F5B4726"/>
    <w:rsid w:val="0FE93B36"/>
    <w:rsid w:val="10327E93"/>
    <w:rsid w:val="12323B41"/>
    <w:rsid w:val="1347361C"/>
    <w:rsid w:val="150C0679"/>
    <w:rsid w:val="15520056"/>
    <w:rsid w:val="15EF07C9"/>
    <w:rsid w:val="16535398"/>
    <w:rsid w:val="16D859C6"/>
    <w:rsid w:val="17A74689"/>
    <w:rsid w:val="19C12F8D"/>
    <w:rsid w:val="19E7C443"/>
    <w:rsid w:val="1A333C99"/>
    <w:rsid w:val="1A841D95"/>
    <w:rsid w:val="1AEFC4A5"/>
    <w:rsid w:val="1B252495"/>
    <w:rsid w:val="1BA915CD"/>
    <w:rsid w:val="1BC53330"/>
    <w:rsid w:val="1C320BCB"/>
    <w:rsid w:val="1DB76BB1"/>
    <w:rsid w:val="1F6B68E4"/>
    <w:rsid w:val="1F910932"/>
    <w:rsid w:val="1FDB2416"/>
    <w:rsid w:val="1FDF4124"/>
    <w:rsid w:val="203E27C9"/>
    <w:rsid w:val="20EA3839"/>
    <w:rsid w:val="216E4C20"/>
    <w:rsid w:val="24921F5B"/>
    <w:rsid w:val="24D0283E"/>
    <w:rsid w:val="279F4CAA"/>
    <w:rsid w:val="28011676"/>
    <w:rsid w:val="2B3DDE30"/>
    <w:rsid w:val="2B517CEA"/>
    <w:rsid w:val="2BE17359"/>
    <w:rsid w:val="2CFF54AB"/>
    <w:rsid w:val="2D967F30"/>
    <w:rsid w:val="2F230642"/>
    <w:rsid w:val="2FF7A1F3"/>
    <w:rsid w:val="31085D41"/>
    <w:rsid w:val="317E24A7"/>
    <w:rsid w:val="32D37D6D"/>
    <w:rsid w:val="33157343"/>
    <w:rsid w:val="33874BA0"/>
    <w:rsid w:val="34570A84"/>
    <w:rsid w:val="350C76F2"/>
    <w:rsid w:val="35CE533D"/>
    <w:rsid w:val="361164F9"/>
    <w:rsid w:val="363F64CA"/>
    <w:rsid w:val="367B4B74"/>
    <w:rsid w:val="371F3DE4"/>
    <w:rsid w:val="37AEDFF0"/>
    <w:rsid w:val="38486C73"/>
    <w:rsid w:val="39557F91"/>
    <w:rsid w:val="3C4718FC"/>
    <w:rsid w:val="3D411876"/>
    <w:rsid w:val="3D9E7658"/>
    <w:rsid w:val="3DC47958"/>
    <w:rsid w:val="3E185C5D"/>
    <w:rsid w:val="3E3C527C"/>
    <w:rsid w:val="3E88226F"/>
    <w:rsid w:val="3EAB0AA6"/>
    <w:rsid w:val="3FDBB01B"/>
    <w:rsid w:val="403B66FC"/>
    <w:rsid w:val="417E3DFD"/>
    <w:rsid w:val="421C20FC"/>
    <w:rsid w:val="42295B17"/>
    <w:rsid w:val="4436451B"/>
    <w:rsid w:val="456815F5"/>
    <w:rsid w:val="46431172"/>
    <w:rsid w:val="46C4144B"/>
    <w:rsid w:val="48106941"/>
    <w:rsid w:val="490015BA"/>
    <w:rsid w:val="492A07DE"/>
    <w:rsid w:val="499E2894"/>
    <w:rsid w:val="4AF77D90"/>
    <w:rsid w:val="4B7DFF8C"/>
    <w:rsid w:val="4D6BA062"/>
    <w:rsid w:val="4DEA0BB2"/>
    <w:rsid w:val="4EEA4880"/>
    <w:rsid w:val="4FE90634"/>
    <w:rsid w:val="4FF8E204"/>
    <w:rsid w:val="50577CF3"/>
    <w:rsid w:val="51182EF0"/>
    <w:rsid w:val="522F38A0"/>
    <w:rsid w:val="525A2B1B"/>
    <w:rsid w:val="52C262DB"/>
    <w:rsid w:val="53AA0ECF"/>
    <w:rsid w:val="53BF452D"/>
    <w:rsid w:val="54281EF1"/>
    <w:rsid w:val="57A37CC2"/>
    <w:rsid w:val="57DF8033"/>
    <w:rsid w:val="59D67A6F"/>
    <w:rsid w:val="5C725D18"/>
    <w:rsid w:val="5CD526CC"/>
    <w:rsid w:val="5CDD1C51"/>
    <w:rsid w:val="5E0F7E5F"/>
    <w:rsid w:val="5E805A3B"/>
    <w:rsid w:val="5E8425FB"/>
    <w:rsid w:val="5EB7485E"/>
    <w:rsid w:val="5F0059FA"/>
    <w:rsid w:val="5F0D0843"/>
    <w:rsid w:val="5FFB6FB9"/>
    <w:rsid w:val="60FA2A46"/>
    <w:rsid w:val="62154B16"/>
    <w:rsid w:val="62B07A33"/>
    <w:rsid w:val="636808A3"/>
    <w:rsid w:val="639A466F"/>
    <w:rsid w:val="63C91797"/>
    <w:rsid w:val="65056032"/>
    <w:rsid w:val="65611973"/>
    <w:rsid w:val="656D3547"/>
    <w:rsid w:val="66592D32"/>
    <w:rsid w:val="67012BCF"/>
    <w:rsid w:val="680C14CF"/>
    <w:rsid w:val="685079F2"/>
    <w:rsid w:val="68CE5B3F"/>
    <w:rsid w:val="690661A1"/>
    <w:rsid w:val="697D65C5"/>
    <w:rsid w:val="69C741A3"/>
    <w:rsid w:val="6A144EE8"/>
    <w:rsid w:val="6A2B6021"/>
    <w:rsid w:val="6B1F456D"/>
    <w:rsid w:val="6BFF94AB"/>
    <w:rsid w:val="6C5775A1"/>
    <w:rsid w:val="6C887978"/>
    <w:rsid w:val="6D57319D"/>
    <w:rsid w:val="6D9C1DF7"/>
    <w:rsid w:val="6DF9A621"/>
    <w:rsid w:val="6EF17979"/>
    <w:rsid w:val="6FAF7FA3"/>
    <w:rsid w:val="6FB12B37"/>
    <w:rsid w:val="6FBE7AED"/>
    <w:rsid w:val="6FDF5782"/>
    <w:rsid w:val="709E54A1"/>
    <w:rsid w:val="70A04ED3"/>
    <w:rsid w:val="71127B9B"/>
    <w:rsid w:val="729712C3"/>
    <w:rsid w:val="72B7005A"/>
    <w:rsid w:val="730D6D82"/>
    <w:rsid w:val="735F5FE4"/>
    <w:rsid w:val="737305B5"/>
    <w:rsid w:val="7394780C"/>
    <w:rsid w:val="743568B8"/>
    <w:rsid w:val="74982505"/>
    <w:rsid w:val="76776056"/>
    <w:rsid w:val="774BE3C5"/>
    <w:rsid w:val="774C1622"/>
    <w:rsid w:val="77BC29AE"/>
    <w:rsid w:val="77DF594A"/>
    <w:rsid w:val="77E438A0"/>
    <w:rsid w:val="77F50C2C"/>
    <w:rsid w:val="77FD6B22"/>
    <w:rsid w:val="77FE32FE"/>
    <w:rsid w:val="78E636B9"/>
    <w:rsid w:val="795B0313"/>
    <w:rsid w:val="7977CEF1"/>
    <w:rsid w:val="79D33FDF"/>
    <w:rsid w:val="7A1A1C0E"/>
    <w:rsid w:val="7AFC7AA5"/>
    <w:rsid w:val="7B5440AB"/>
    <w:rsid w:val="7B996ED4"/>
    <w:rsid w:val="7BC12D50"/>
    <w:rsid w:val="7BDBAE50"/>
    <w:rsid w:val="7C568EAC"/>
    <w:rsid w:val="7CD06D3E"/>
    <w:rsid w:val="7D7F0619"/>
    <w:rsid w:val="7DD29D2A"/>
    <w:rsid w:val="7DEFE84C"/>
    <w:rsid w:val="7E77DF55"/>
    <w:rsid w:val="7EF84A80"/>
    <w:rsid w:val="7EFA6212"/>
    <w:rsid w:val="7F2D8F0F"/>
    <w:rsid w:val="7F365BF7"/>
    <w:rsid w:val="7F3E5943"/>
    <w:rsid w:val="7F7BF0CD"/>
    <w:rsid w:val="7F7FF654"/>
    <w:rsid w:val="7FAC9B84"/>
    <w:rsid w:val="7FB063AB"/>
    <w:rsid w:val="7FB93BB3"/>
    <w:rsid w:val="7FBF2C4C"/>
    <w:rsid w:val="7FF908E2"/>
    <w:rsid w:val="7FFD5746"/>
    <w:rsid w:val="7FFE190D"/>
    <w:rsid w:val="7FFEFFCC"/>
    <w:rsid w:val="917DF8C4"/>
    <w:rsid w:val="9F9CE446"/>
    <w:rsid w:val="9FBF70EA"/>
    <w:rsid w:val="AB6DD3B2"/>
    <w:rsid w:val="ABCB484E"/>
    <w:rsid w:val="AFFF009D"/>
    <w:rsid w:val="BDD9EF93"/>
    <w:rsid w:val="BF6A28BE"/>
    <w:rsid w:val="BFD65581"/>
    <w:rsid w:val="BFDF06D0"/>
    <w:rsid w:val="C75F70EA"/>
    <w:rsid w:val="CFAF903C"/>
    <w:rsid w:val="CFF3D588"/>
    <w:rsid w:val="D65A86D5"/>
    <w:rsid w:val="D7DC4B51"/>
    <w:rsid w:val="D7FF29D5"/>
    <w:rsid w:val="DBDDDC20"/>
    <w:rsid w:val="DCDA3592"/>
    <w:rsid w:val="DDFD5604"/>
    <w:rsid w:val="DEF9F92B"/>
    <w:rsid w:val="DFEDD59D"/>
    <w:rsid w:val="DFFF04F0"/>
    <w:rsid w:val="E1FF7590"/>
    <w:rsid w:val="E55A7B00"/>
    <w:rsid w:val="E7E966B6"/>
    <w:rsid w:val="E9DF24E0"/>
    <w:rsid w:val="EBD403B1"/>
    <w:rsid w:val="EFB98C56"/>
    <w:rsid w:val="EFBF4D87"/>
    <w:rsid w:val="EFFF0716"/>
    <w:rsid w:val="F2FCCFF7"/>
    <w:rsid w:val="F3BBC006"/>
    <w:rsid w:val="F7DFD7BE"/>
    <w:rsid w:val="F7EF81DB"/>
    <w:rsid w:val="F9EF4365"/>
    <w:rsid w:val="FB9FCFC0"/>
    <w:rsid w:val="FCEDA6CD"/>
    <w:rsid w:val="FFBF461D"/>
    <w:rsid w:val="FFBF542A"/>
    <w:rsid w:val="FFE4665E"/>
    <w:rsid w:val="FFED2103"/>
    <w:rsid w:val="FFFF69D2"/>
    <w:rsid w:val="FFFFD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Times New Roman" w:hAnsi="Times New Roman" w:eastAsia="宋体"/>
      <w:b/>
      <w:kern w:val="44"/>
      <w:sz w:val="36"/>
    </w:rPr>
  </w:style>
  <w:style w:type="paragraph" w:styleId="3">
    <w:name w:val="heading 2"/>
    <w:basedOn w:val="1"/>
    <w:next w:val="1"/>
    <w:unhideWhenUsed/>
    <w:qFormat/>
    <w:uiPriority w:val="0"/>
    <w:pPr>
      <w:keepNext/>
      <w:keepLines/>
      <w:spacing w:before="260" w:after="260" w:line="415" w:lineRule="auto"/>
      <w:ind w:left="100" w:leftChars="100"/>
      <w:jc w:val="left"/>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eastAsia="宋体" w:cs="Times New Roman"/>
      <w:szCs w:val="20"/>
    </w:rPr>
  </w:style>
  <w:style w:type="paragraph" w:styleId="5">
    <w:name w:val="Body Text"/>
    <w:basedOn w:val="1"/>
    <w:qFormat/>
    <w:uiPriority w:val="1"/>
    <w:rPr>
      <w:rFonts w:ascii="Times New Roman" w:hAnsi="Times New Roman" w:eastAsia="宋体" w:cs="Times New Roman"/>
      <w:szCs w:val="21"/>
    </w:rPr>
  </w:style>
  <w:style w:type="paragraph" w:styleId="6">
    <w:name w:val="Block Text"/>
    <w:basedOn w:val="1"/>
    <w:semiHidden/>
    <w:qFormat/>
    <w:uiPriority w:val="0"/>
    <w:pPr>
      <w:spacing w:after="120"/>
      <w:ind w:left="1440" w:leftChars="700" w:right="1440" w:rightChars="700"/>
    </w:p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8"/>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样式2"/>
    <w:basedOn w:val="2"/>
    <w:next w:val="1"/>
    <w:qFormat/>
    <w:uiPriority w:val="0"/>
    <w:rPr>
      <w:rFonts w:eastAsia="黑体"/>
    </w:rPr>
  </w:style>
  <w:style w:type="character" w:customStyle="1" w:styleId="16">
    <w:name w:val="页眉 Char"/>
    <w:basedOn w:val="13"/>
    <w:link w:val="8"/>
    <w:qFormat/>
    <w:uiPriority w:val="0"/>
    <w:rPr>
      <w:rFonts w:asciiTheme="minorHAnsi" w:hAnsiTheme="minorHAnsi" w:eastAsiaTheme="minorEastAsia" w:cstheme="minorBidi"/>
      <w:kern w:val="2"/>
      <w:sz w:val="18"/>
      <w:szCs w:val="18"/>
    </w:rPr>
  </w:style>
  <w:style w:type="character" w:customStyle="1" w:styleId="17">
    <w:name w:val="页脚 Char"/>
    <w:basedOn w:val="13"/>
    <w:link w:val="7"/>
    <w:qFormat/>
    <w:uiPriority w:val="0"/>
    <w:rPr>
      <w:rFonts w:asciiTheme="minorHAnsi" w:hAnsiTheme="minorHAnsi" w:eastAsiaTheme="minorEastAsia" w:cstheme="minorBidi"/>
      <w:kern w:val="2"/>
      <w:sz w:val="18"/>
      <w:szCs w:val="18"/>
    </w:rPr>
  </w:style>
  <w:style w:type="character" w:customStyle="1" w:styleId="18">
    <w:name w:val="标题 Char"/>
    <w:basedOn w:val="13"/>
    <w:link w:val="10"/>
    <w:qFormat/>
    <w:uiPriority w:val="0"/>
    <w:rPr>
      <w:rFonts w:asciiTheme="majorHAnsi" w:hAnsiTheme="majorHAnsi" w:cstheme="majorBidi"/>
      <w:b/>
      <w:bCs/>
      <w:kern w:val="2"/>
      <w:sz w:val="32"/>
      <w:szCs w:val="32"/>
    </w:rPr>
  </w:style>
  <w:style w:type="paragraph" w:styleId="19">
    <w:name w:val="List Paragraph"/>
    <w:basedOn w:val="1"/>
    <w:unhideWhenUsed/>
    <w:qFormat/>
    <w:uiPriority w:val="99"/>
    <w:pPr>
      <w:ind w:firstLine="420" w:firstLineChars="200"/>
    </w:pPr>
  </w:style>
  <w:style w:type="paragraph" w:customStyle="1" w:styleId="20">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4414</Words>
  <Characters>5087</Characters>
  <Lines>28</Lines>
  <Paragraphs>8</Paragraphs>
  <TotalTime>0</TotalTime>
  <ScaleCrop>false</ScaleCrop>
  <LinksUpToDate>false</LinksUpToDate>
  <CharactersWithSpaces>5225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2020-12-01T15:18:00Z</dcterms:created>
  <dc:creator>68849</dc:creator>
  <cp:lastModifiedBy>admin</cp:lastModifiedBy>
  <cp:lastPrinted>2024-08-09T16:36:00Z</cp:lastPrinted>
  <dcterms:modified xsi:type="dcterms:W3CDTF">2024-08-26T08:37:17Z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B75F97C4905D4FD98C1D6AE9A2FF3ADA</vt:lpwstr>
  </property>
</Properties>
</file>