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F9ADD">
      <w:pPr>
        <w:autoSpaceDE w:val="0"/>
        <w:autoSpaceDN w:val="0"/>
        <w:spacing w:line="360" w:lineRule="auto"/>
        <w:jc w:val="center"/>
        <w:rPr>
          <w:rFonts w:hint="eastAsia" w:eastAsia="宋体"/>
          <w:lang w:eastAsia="zh-CN"/>
        </w:rPr>
        <w:sectPr>
          <w:footerReference r:id="rId5" w:type="default"/>
          <w:pgSz w:w="11906" w:h="16839"/>
          <w:pgMar w:top="1431" w:right="1508" w:bottom="1185" w:left="1508" w:header="0" w:footer="916" w:gutter="0"/>
          <w:pgBorders>
            <w:top w:val="none" w:sz="0" w:space="0"/>
            <w:left w:val="none" w:sz="0" w:space="0"/>
            <w:bottom w:val="none" w:sz="0" w:space="0"/>
            <w:right w:val="none" w:sz="0" w:space="0"/>
          </w:pgBorders>
          <w:pgNumType w:fmt="decimal" w:start="1"/>
          <w:cols w:space="720" w:num="1"/>
        </w:sectPr>
      </w:pPr>
      <w:r>
        <w:rPr>
          <w:rFonts w:hint="eastAsia" w:eastAsia="宋体"/>
          <w:lang w:eastAsia="zh-CN"/>
        </w:rPr>
        <w:drawing>
          <wp:anchor distT="0" distB="0" distL="114300" distR="114300" simplePos="0" relativeHeight="251668480" behindDoc="0" locked="0" layoutInCell="1" allowOverlap="1">
            <wp:simplePos x="0" y="0"/>
            <wp:positionH relativeFrom="column">
              <wp:posOffset>-316865</wp:posOffset>
            </wp:positionH>
            <wp:positionV relativeFrom="paragraph">
              <wp:posOffset>17145</wp:posOffset>
            </wp:positionV>
            <wp:extent cx="6377940" cy="9022080"/>
            <wp:effectExtent l="0" t="0" r="7620" b="0"/>
            <wp:wrapNone/>
            <wp:docPr id="42" name="图片 42" descr="绿生源户外用品生产（公示稿-打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绿生源户外用品生产（公示稿-打印）_01"/>
                    <pic:cNvPicPr>
                      <a:picLocks noChangeAspect="1"/>
                    </pic:cNvPicPr>
                  </pic:nvPicPr>
                  <pic:blipFill>
                    <a:blip r:embed="rId11"/>
                    <a:stretch>
                      <a:fillRect/>
                    </a:stretch>
                  </pic:blipFill>
                  <pic:spPr>
                    <a:xfrm>
                      <a:off x="0" y="0"/>
                      <a:ext cx="6377940" cy="9022080"/>
                    </a:xfrm>
                    <a:prstGeom prst="rect">
                      <a:avLst/>
                    </a:prstGeom>
                  </pic:spPr>
                </pic:pic>
              </a:graphicData>
            </a:graphic>
          </wp:anchor>
        </w:drawing>
      </w:r>
    </w:p>
    <w:sdt>
      <w:sdtPr>
        <w:rPr>
          <w:rFonts w:ascii="宋体" w:hAnsi="宋体" w:eastAsia="宋体" w:cs="Arial"/>
          <w:snapToGrid w:val="0"/>
          <w:color w:val="000000"/>
          <w:kern w:val="0"/>
          <w:sz w:val="21"/>
          <w:szCs w:val="21"/>
        </w:rPr>
        <w:id w:val="147479396"/>
        <w15:color w:val="DBDBDB"/>
        <w:docPartObj>
          <w:docPartGallery w:val="Table of Contents"/>
          <w:docPartUnique/>
        </w:docPartObj>
      </w:sdtPr>
      <w:sdtEndPr>
        <w:rPr>
          <w:rFonts w:ascii="Arial" w:hAnsi="Arial" w:eastAsia="Arial" w:cs="Arial"/>
          <w:snapToGrid w:val="0"/>
          <w:color w:val="000000"/>
          <w:kern w:val="0"/>
          <w:sz w:val="21"/>
          <w:szCs w:val="21"/>
        </w:rPr>
      </w:sdtEndPr>
      <w:sdtContent>
        <w:p w14:paraId="340D85BC">
          <w:pPr>
            <w:spacing w:before="0" w:beforeLines="0" w:after="0" w:afterLines="0"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eastAsia="宋体" w:cs="Times New Roman"/>
              <w:b/>
              <w:bCs/>
              <w:sz w:val="32"/>
              <w:szCs w:val="32"/>
            </w:rPr>
            <w:t>目录</w:t>
          </w:r>
        </w:p>
        <w:p w14:paraId="79A3C9DF">
          <w:pPr>
            <w:pStyle w:val="13"/>
            <w:tabs>
              <w:tab w:val="right" w:leader="dot" w:pos="8890"/>
            </w:tabs>
          </w:pPr>
          <w:r>
            <w:rPr>
              <w:rFonts w:hint="default" w:ascii="Times New Roman" w:hAnsi="Times New Roman" w:cs="Times New Roman"/>
            </w:rPr>
            <w:fldChar w:fldCharType="begin"/>
          </w:r>
          <w:r>
            <w:rPr>
              <w:rFonts w:hint="default" w:ascii="Times New Roman" w:hAnsi="Times New Roman" w:cs="Times New Roman"/>
            </w:rPr>
            <w:instrText xml:space="preserve">TOC \o "1-1"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_Toc20052 </w:instrText>
          </w:r>
          <w:r>
            <w:rPr>
              <w:rFonts w:hint="default" w:ascii="Times New Roman" w:hAnsi="Times New Roman" w:cs="Times New Roman"/>
            </w:rPr>
            <w:fldChar w:fldCharType="separate"/>
          </w:r>
          <w:r>
            <w:rPr>
              <w:rFonts w:ascii="黑体" w:hAnsi="黑体" w:eastAsia="黑体" w:cs="黑体"/>
              <w:spacing w:val="11"/>
              <w:position w:val="4"/>
              <w:szCs w:val="29"/>
              <w:highlight w:val="none"/>
            </w:rPr>
            <w:t>一</w:t>
          </w:r>
          <w:r>
            <w:rPr>
              <w:rFonts w:ascii="黑体" w:hAnsi="黑体" w:eastAsia="黑体" w:cs="黑体"/>
              <w:spacing w:val="8"/>
              <w:position w:val="4"/>
              <w:szCs w:val="29"/>
              <w:highlight w:val="none"/>
            </w:rPr>
            <w:t>、建设项目基本情况</w:t>
          </w:r>
          <w:r>
            <w:tab/>
          </w:r>
          <w:r>
            <w:fldChar w:fldCharType="begin"/>
          </w:r>
          <w:r>
            <w:instrText xml:space="preserve"> PAGEREF _Toc20052 \h </w:instrText>
          </w:r>
          <w:r>
            <w:fldChar w:fldCharType="separate"/>
          </w:r>
          <w:r>
            <w:t>1</w:t>
          </w:r>
          <w:r>
            <w:fldChar w:fldCharType="end"/>
          </w:r>
          <w:r>
            <w:rPr>
              <w:rFonts w:hint="default" w:ascii="Times New Roman" w:hAnsi="Times New Roman" w:cs="Times New Roman"/>
            </w:rPr>
            <w:fldChar w:fldCharType="end"/>
          </w:r>
        </w:p>
        <w:p w14:paraId="7E190B14">
          <w:pPr>
            <w:pStyle w:val="13"/>
            <w:tabs>
              <w:tab w:val="right" w:leader="dot" w:pos="889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_Toc2696 </w:instrText>
          </w:r>
          <w:r>
            <w:rPr>
              <w:rFonts w:hint="default" w:ascii="Times New Roman" w:hAnsi="Times New Roman" w:cs="Times New Roman"/>
            </w:rPr>
            <w:fldChar w:fldCharType="separate"/>
          </w:r>
          <w:r>
            <w:rPr>
              <w:rFonts w:ascii="黑体" w:hAnsi="黑体" w:eastAsia="黑体" w:cs="黑体"/>
              <w:spacing w:val="11"/>
              <w:position w:val="2"/>
              <w:szCs w:val="29"/>
              <w:highlight w:val="none"/>
            </w:rPr>
            <w:t>二</w:t>
          </w:r>
          <w:r>
            <w:rPr>
              <w:rFonts w:ascii="黑体" w:hAnsi="黑体" w:eastAsia="黑体" w:cs="黑体"/>
              <w:spacing w:val="8"/>
              <w:position w:val="2"/>
              <w:szCs w:val="29"/>
              <w:highlight w:val="none"/>
            </w:rPr>
            <w:t>、建设项目工程分析</w:t>
          </w:r>
          <w:r>
            <w:tab/>
          </w:r>
          <w:r>
            <w:fldChar w:fldCharType="begin"/>
          </w:r>
          <w:r>
            <w:instrText xml:space="preserve"> PAGEREF _Toc2696 \h </w:instrText>
          </w:r>
          <w:r>
            <w:fldChar w:fldCharType="separate"/>
          </w:r>
          <w:r>
            <w:t>23</w:t>
          </w:r>
          <w:r>
            <w:fldChar w:fldCharType="end"/>
          </w:r>
          <w:r>
            <w:rPr>
              <w:rFonts w:hint="default" w:ascii="Times New Roman" w:hAnsi="Times New Roman" w:cs="Times New Roman"/>
            </w:rPr>
            <w:fldChar w:fldCharType="end"/>
          </w:r>
        </w:p>
        <w:p w14:paraId="6C3BA120">
          <w:pPr>
            <w:pStyle w:val="13"/>
            <w:tabs>
              <w:tab w:val="right" w:leader="dot" w:pos="889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_Toc22597 </w:instrText>
          </w:r>
          <w:r>
            <w:rPr>
              <w:rFonts w:hint="default" w:ascii="Times New Roman" w:hAnsi="Times New Roman" w:cs="Times New Roman"/>
            </w:rPr>
            <w:fldChar w:fldCharType="separate"/>
          </w:r>
          <w:r>
            <w:rPr>
              <w:rFonts w:ascii="黑体" w:hAnsi="黑体" w:eastAsia="黑体" w:cs="黑体"/>
              <w:spacing w:val="13"/>
              <w:szCs w:val="29"/>
              <w:highlight w:val="none"/>
            </w:rPr>
            <w:t>三</w:t>
          </w:r>
          <w:r>
            <w:rPr>
              <w:rFonts w:ascii="黑体" w:hAnsi="黑体" w:eastAsia="黑体" w:cs="黑体"/>
              <w:spacing w:val="9"/>
              <w:szCs w:val="29"/>
              <w:highlight w:val="none"/>
            </w:rPr>
            <w:t>、区域环境质量现状、环境保护目标及评价标准</w:t>
          </w:r>
          <w:r>
            <w:tab/>
          </w:r>
          <w:r>
            <w:fldChar w:fldCharType="begin"/>
          </w:r>
          <w:r>
            <w:instrText xml:space="preserve"> PAGEREF _Toc22597 \h </w:instrText>
          </w:r>
          <w:r>
            <w:fldChar w:fldCharType="separate"/>
          </w:r>
          <w:r>
            <w:t>35</w:t>
          </w:r>
          <w:r>
            <w:fldChar w:fldCharType="end"/>
          </w:r>
          <w:r>
            <w:rPr>
              <w:rFonts w:hint="default" w:ascii="Times New Roman" w:hAnsi="Times New Roman" w:cs="Times New Roman"/>
            </w:rPr>
            <w:fldChar w:fldCharType="end"/>
          </w:r>
        </w:p>
        <w:p w14:paraId="02891332">
          <w:pPr>
            <w:pStyle w:val="13"/>
            <w:tabs>
              <w:tab w:val="right" w:leader="dot" w:pos="889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_Toc27825 </w:instrText>
          </w:r>
          <w:r>
            <w:rPr>
              <w:rFonts w:hint="default" w:ascii="Times New Roman" w:hAnsi="Times New Roman" w:cs="Times New Roman"/>
            </w:rPr>
            <w:fldChar w:fldCharType="separate"/>
          </w:r>
          <w:r>
            <w:rPr>
              <w:rFonts w:ascii="黑体" w:hAnsi="黑体" w:eastAsia="黑体" w:cs="黑体"/>
              <w:spacing w:val="14"/>
              <w:szCs w:val="29"/>
              <w:highlight w:val="none"/>
            </w:rPr>
            <w:t>四</w:t>
          </w:r>
          <w:r>
            <w:rPr>
              <w:rFonts w:ascii="黑体" w:hAnsi="黑体" w:eastAsia="黑体" w:cs="黑体"/>
              <w:spacing w:val="9"/>
              <w:szCs w:val="29"/>
              <w:highlight w:val="none"/>
            </w:rPr>
            <w:t>、</w:t>
          </w:r>
          <w:r>
            <w:rPr>
              <w:rFonts w:ascii="黑体" w:hAnsi="黑体" w:eastAsia="黑体" w:cs="黑体"/>
              <w:spacing w:val="7"/>
              <w:szCs w:val="29"/>
              <w:highlight w:val="none"/>
            </w:rPr>
            <w:t>主要环境影响和保护措施</w:t>
          </w:r>
          <w:r>
            <w:tab/>
          </w:r>
          <w:r>
            <w:fldChar w:fldCharType="begin"/>
          </w:r>
          <w:r>
            <w:instrText xml:space="preserve"> PAGEREF _Toc27825 \h </w:instrText>
          </w:r>
          <w:r>
            <w:fldChar w:fldCharType="separate"/>
          </w:r>
          <w:r>
            <w:t>43</w:t>
          </w:r>
          <w:r>
            <w:fldChar w:fldCharType="end"/>
          </w:r>
          <w:r>
            <w:rPr>
              <w:rFonts w:hint="default" w:ascii="Times New Roman" w:hAnsi="Times New Roman" w:cs="Times New Roman"/>
            </w:rPr>
            <w:fldChar w:fldCharType="end"/>
          </w:r>
        </w:p>
        <w:p w14:paraId="78E42167">
          <w:pPr>
            <w:pStyle w:val="13"/>
            <w:tabs>
              <w:tab w:val="right" w:leader="dot" w:pos="889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_Toc26738 </w:instrText>
          </w:r>
          <w:r>
            <w:rPr>
              <w:rFonts w:hint="default" w:ascii="Times New Roman" w:hAnsi="Times New Roman" w:cs="Times New Roman"/>
            </w:rPr>
            <w:fldChar w:fldCharType="separate"/>
          </w:r>
          <w:r>
            <w:rPr>
              <w:rFonts w:ascii="黑体" w:hAnsi="黑体" w:eastAsia="黑体" w:cs="黑体"/>
              <w:spacing w:val="16"/>
              <w:szCs w:val="29"/>
              <w:highlight w:val="none"/>
            </w:rPr>
            <w:t>五</w:t>
          </w:r>
          <w:r>
            <w:rPr>
              <w:rFonts w:ascii="黑体" w:hAnsi="黑体" w:eastAsia="黑体" w:cs="黑体"/>
              <w:spacing w:val="8"/>
              <w:szCs w:val="29"/>
              <w:highlight w:val="none"/>
            </w:rPr>
            <w:t>、环境保护措施监督检查清单</w:t>
          </w:r>
          <w:r>
            <w:tab/>
          </w:r>
          <w:r>
            <w:fldChar w:fldCharType="begin"/>
          </w:r>
          <w:r>
            <w:instrText xml:space="preserve"> PAGEREF _Toc26738 \h </w:instrText>
          </w:r>
          <w:r>
            <w:fldChar w:fldCharType="separate"/>
          </w:r>
          <w:r>
            <w:t>73</w:t>
          </w:r>
          <w:r>
            <w:fldChar w:fldCharType="end"/>
          </w:r>
          <w:r>
            <w:rPr>
              <w:rFonts w:hint="default" w:ascii="Times New Roman" w:hAnsi="Times New Roman" w:cs="Times New Roman"/>
            </w:rPr>
            <w:fldChar w:fldCharType="end"/>
          </w:r>
        </w:p>
        <w:p w14:paraId="2453A8DA">
          <w:pPr>
            <w:pStyle w:val="13"/>
            <w:tabs>
              <w:tab w:val="right" w:leader="dot" w:pos="8890"/>
            </w:tabs>
          </w:pPr>
          <w:r>
            <w:rPr>
              <w:rFonts w:hint="default" w:ascii="Times New Roman" w:hAnsi="Times New Roman" w:cs="Times New Roman"/>
            </w:rPr>
            <w:fldChar w:fldCharType="begin"/>
          </w:r>
          <w:r>
            <w:rPr>
              <w:rFonts w:hint="default" w:ascii="Times New Roman" w:hAnsi="Times New Roman" w:cs="Times New Roman"/>
            </w:rPr>
            <w:instrText xml:space="preserve"> HYPERLINK \l _Toc29777 </w:instrText>
          </w:r>
          <w:r>
            <w:rPr>
              <w:rFonts w:hint="default" w:ascii="Times New Roman" w:hAnsi="Times New Roman" w:cs="Times New Roman"/>
            </w:rPr>
            <w:fldChar w:fldCharType="separate"/>
          </w:r>
          <w:r>
            <w:rPr>
              <w:rFonts w:hint="eastAsia" w:ascii="黑体" w:hAnsi="黑体" w:eastAsia="黑体"/>
              <w:snapToGrid w:val="0"/>
              <w:szCs w:val="30"/>
              <w:highlight w:val="none"/>
            </w:rPr>
            <w:t>六、结论</w:t>
          </w:r>
          <w:r>
            <w:tab/>
          </w:r>
          <w:r>
            <w:fldChar w:fldCharType="begin"/>
          </w:r>
          <w:r>
            <w:instrText xml:space="preserve"> PAGEREF _Toc29777 \h </w:instrText>
          </w:r>
          <w:r>
            <w:fldChar w:fldCharType="separate"/>
          </w:r>
          <w:r>
            <w:t>79</w:t>
          </w:r>
          <w:r>
            <w:fldChar w:fldCharType="end"/>
          </w:r>
          <w:r>
            <w:rPr>
              <w:rFonts w:hint="default" w:ascii="Times New Roman" w:hAnsi="Times New Roman" w:cs="Times New Roman"/>
            </w:rPr>
            <w:fldChar w:fldCharType="end"/>
          </w:r>
        </w:p>
        <w:p w14:paraId="0A2F497C">
          <w:pPr>
            <w:pStyle w:val="13"/>
            <w:tabs>
              <w:tab w:val="right" w:leader="dot" w:pos="8890"/>
            </w:tabs>
          </w:pPr>
        </w:p>
        <w:p w14:paraId="513C5F50">
          <w:pPr>
            <w:autoSpaceDE w:val="0"/>
            <w:autoSpaceDN w:val="0"/>
            <w:spacing w:line="360" w:lineRule="auto"/>
            <w:jc w:val="left"/>
            <w:rPr>
              <w:rFonts w:ascii="Arial" w:hAnsi="Arial" w:eastAsia="Arial" w:cs="Arial"/>
              <w:snapToGrid w:val="0"/>
              <w:color w:val="000000"/>
              <w:kern w:val="0"/>
              <w:sz w:val="21"/>
              <w:szCs w:val="21"/>
            </w:rPr>
            <w:sectPr>
              <w:footerReference r:id="rId6" w:type="default"/>
              <w:pgSz w:w="11906" w:h="16839"/>
              <w:pgMar w:top="1431" w:right="1508" w:bottom="1185" w:left="1508" w:header="0" w:footer="916" w:gutter="0"/>
              <w:pgBorders>
                <w:top w:val="none" w:sz="0" w:space="0"/>
                <w:left w:val="none" w:sz="0" w:space="0"/>
                <w:bottom w:val="none" w:sz="0" w:space="0"/>
                <w:right w:val="none" w:sz="0" w:space="0"/>
              </w:pgBorders>
              <w:pgNumType w:fmt="decimal" w:start="1"/>
              <w:cols w:space="720" w:num="1"/>
            </w:sectPr>
          </w:pPr>
          <w:r>
            <w:rPr>
              <w:rFonts w:hint="default" w:ascii="Times New Roman" w:hAnsi="Times New Roman" w:cs="Times New Roman"/>
            </w:rPr>
            <w:fldChar w:fldCharType="end"/>
          </w:r>
        </w:p>
      </w:sdtContent>
    </w:sdt>
    <w:p w14:paraId="34EBD51B">
      <w:pPr>
        <w:spacing w:before="94" w:line="482" w:lineRule="exact"/>
        <w:jc w:val="center"/>
        <w:outlineLvl w:val="0"/>
        <w:rPr>
          <w:rFonts w:ascii="黑体" w:hAnsi="黑体" w:eastAsia="黑体" w:cs="黑体"/>
          <w:sz w:val="29"/>
          <w:szCs w:val="29"/>
          <w:highlight w:val="none"/>
        </w:rPr>
      </w:pPr>
      <w:bookmarkStart w:id="0" w:name="_Toc20052"/>
      <w:r>
        <w:rPr>
          <w:rFonts w:ascii="黑体" w:hAnsi="黑体" w:eastAsia="黑体" w:cs="黑体"/>
          <w:spacing w:val="11"/>
          <w:position w:val="4"/>
          <w:sz w:val="29"/>
          <w:szCs w:val="29"/>
          <w:highlight w:val="none"/>
        </w:rPr>
        <w:t>一</w:t>
      </w:r>
      <w:r>
        <w:rPr>
          <w:rFonts w:ascii="黑体" w:hAnsi="黑体" w:eastAsia="黑体" w:cs="黑体"/>
          <w:spacing w:val="8"/>
          <w:position w:val="4"/>
          <w:sz w:val="29"/>
          <w:szCs w:val="29"/>
          <w:highlight w:val="none"/>
        </w:rPr>
        <w:t>、建设项目基本情况</w:t>
      </w:r>
      <w:bookmarkEnd w:id="0"/>
    </w:p>
    <w:p w14:paraId="53866F4F">
      <w:pPr>
        <w:spacing w:line="142" w:lineRule="exact"/>
        <w:rPr>
          <w:highlight w:val="none"/>
        </w:rPr>
      </w:pPr>
    </w:p>
    <w:tbl>
      <w:tblPr>
        <w:tblStyle w:val="21"/>
        <w:tblW w:w="8874"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08"/>
        <w:gridCol w:w="2775"/>
        <w:gridCol w:w="1947"/>
        <w:gridCol w:w="2644"/>
      </w:tblGrid>
      <w:tr w14:paraId="7923C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508" w:type="dxa"/>
            <w:tcBorders>
              <w:left w:val="single" w:color="000000" w:sz="6" w:space="0"/>
            </w:tcBorders>
            <w:vAlign w:val="center"/>
          </w:tcPr>
          <w:p w14:paraId="7B0E9BE0">
            <w:pPr>
              <w:spacing w:before="173" w:line="229" w:lineRule="auto"/>
              <w:jc w:val="center"/>
              <w:rPr>
                <w:rFonts w:ascii="宋体" w:hAnsi="宋体" w:eastAsia="宋体" w:cs="宋体"/>
                <w:sz w:val="24"/>
                <w:szCs w:val="24"/>
                <w:highlight w:val="none"/>
              </w:rPr>
            </w:pPr>
            <w:r>
              <w:rPr>
                <w:rFonts w:ascii="宋体" w:hAnsi="宋体" w:eastAsia="宋体" w:cs="宋体"/>
                <w:spacing w:val="8"/>
                <w:sz w:val="24"/>
                <w:szCs w:val="24"/>
                <w:highlight w:val="none"/>
              </w:rPr>
              <w:t>建设项目名</w:t>
            </w:r>
            <w:r>
              <w:rPr>
                <w:rFonts w:ascii="宋体" w:hAnsi="宋体" w:eastAsia="宋体" w:cs="宋体"/>
                <w:spacing w:val="7"/>
                <w:sz w:val="24"/>
                <w:szCs w:val="24"/>
                <w:highlight w:val="none"/>
              </w:rPr>
              <w:t>称</w:t>
            </w:r>
          </w:p>
        </w:tc>
        <w:tc>
          <w:tcPr>
            <w:tcW w:w="7366" w:type="dxa"/>
            <w:gridSpan w:val="3"/>
            <w:tcBorders>
              <w:right w:val="single" w:color="000000" w:sz="6" w:space="0"/>
            </w:tcBorders>
            <w:vAlign w:val="center"/>
          </w:tcPr>
          <w:p w14:paraId="5CA595D0">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绿生源户外用品生产</w:t>
            </w:r>
          </w:p>
        </w:tc>
      </w:tr>
      <w:tr w14:paraId="5941B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08" w:type="dxa"/>
            <w:tcBorders>
              <w:left w:val="single" w:color="000000" w:sz="6" w:space="0"/>
            </w:tcBorders>
            <w:vAlign w:val="center"/>
          </w:tcPr>
          <w:p w14:paraId="63184EB4">
            <w:pPr>
              <w:spacing w:before="159" w:line="228" w:lineRule="auto"/>
              <w:jc w:val="center"/>
              <w:rPr>
                <w:rFonts w:ascii="宋体" w:hAnsi="宋体" w:eastAsia="宋体" w:cs="宋体"/>
                <w:sz w:val="24"/>
                <w:szCs w:val="24"/>
                <w:highlight w:val="none"/>
              </w:rPr>
            </w:pPr>
            <w:r>
              <w:rPr>
                <w:rFonts w:ascii="宋体" w:hAnsi="宋体" w:eastAsia="宋体" w:cs="宋体"/>
                <w:spacing w:val="8"/>
                <w:sz w:val="24"/>
                <w:szCs w:val="24"/>
                <w:highlight w:val="none"/>
              </w:rPr>
              <w:t>项</w:t>
            </w:r>
            <w:r>
              <w:rPr>
                <w:rFonts w:ascii="宋体" w:hAnsi="宋体" w:eastAsia="宋体" w:cs="宋体"/>
                <w:spacing w:val="6"/>
                <w:sz w:val="24"/>
                <w:szCs w:val="24"/>
                <w:highlight w:val="none"/>
              </w:rPr>
              <w:t>目代码</w:t>
            </w:r>
          </w:p>
        </w:tc>
        <w:tc>
          <w:tcPr>
            <w:tcW w:w="7366" w:type="dxa"/>
            <w:gridSpan w:val="3"/>
            <w:tcBorders>
              <w:right w:val="single" w:color="000000" w:sz="6" w:space="0"/>
            </w:tcBorders>
            <w:vAlign w:val="center"/>
          </w:tcPr>
          <w:p w14:paraId="57F98513">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2407-350525-04-02-799072</w:t>
            </w:r>
          </w:p>
        </w:tc>
      </w:tr>
      <w:tr w14:paraId="0D307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08" w:type="dxa"/>
            <w:tcBorders>
              <w:left w:val="single" w:color="000000" w:sz="6" w:space="0"/>
            </w:tcBorders>
            <w:vAlign w:val="center"/>
          </w:tcPr>
          <w:p w14:paraId="0A49019A">
            <w:pPr>
              <w:spacing w:before="159" w:line="229" w:lineRule="auto"/>
              <w:jc w:val="center"/>
              <w:rPr>
                <w:rFonts w:ascii="宋体" w:hAnsi="宋体" w:eastAsia="宋体" w:cs="宋体"/>
                <w:sz w:val="24"/>
                <w:szCs w:val="24"/>
                <w:highlight w:val="none"/>
              </w:rPr>
            </w:pPr>
            <w:r>
              <w:rPr>
                <w:rFonts w:ascii="宋体" w:hAnsi="宋体" w:eastAsia="宋体" w:cs="宋体"/>
                <w:spacing w:val="10"/>
                <w:sz w:val="24"/>
                <w:szCs w:val="24"/>
                <w:highlight w:val="none"/>
              </w:rPr>
              <w:t>建</w:t>
            </w:r>
            <w:r>
              <w:rPr>
                <w:rFonts w:ascii="宋体" w:hAnsi="宋体" w:eastAsia="宋体" w:cs="宋体"/>
                <w:spacing w:val="8"/>
                <w:sz w:val="24"/>
                <w:szCs w:val="24"/>
                <w:highlight w:val="none"/>
              </w:rPr>
              <w:t>设单位联系人</w:t>
            </w:r>
          </w:p>
        </w:tc>
        <w:tc>
          <w:tcPr>
            <w:tcW w:w="2775" w:type="dxa"/>
            <w:vAlign w:val="center"/>
          </w:tcPr>
          <w:p w14:paraId="562D6149">
            <w:pPr>
              <w:jc w:val="center"/>
              <w:rPr>
                <w:rFonts w:hint="default" w:ascii="Times New Roman" w:hAnsi="Times New Roman" w:eastAsia="宋体" w:cs="Times New Roman"/>
                <w:sz w:val="24"/>
                <w:szCs w:val="24"/>
                <w:highlight w:val="none"/>
                <w:lang w:val="en-US" w:eastAsia="zh-CN"/>
              </w:rPr>
            </w:pPr>
          </w:p>
        </w:tc>
        <w:tc>
          <w:tcPr>
            <w:tcW w:w="1947" w:type="dxa"/>
            <w:vAlign w:val="center"/>
          </w:tcPr>
          <w:p w14:paraId="160046DC">
            <w:pPr>
              <w:spacing w:before="158" w:line="230" w:lineRule="auto"/>
              <w:ind w:left="691"/>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7"/>
                <w:sz w:val="24"/>
                <w:szCs w:val="24"/>
                <w:highlight w:val="none"/>
              </w:rPr>
              <w:t>联系方式</w:t>
            </w:r>
          </w:p>
        </w:tc>
        <w:tc>
          <w:tcPr>
            <w:tcW w:w="2644" w:type="dxa"/>
            <w:tcBorders>
              <w:right w:val="single" w:color="000000" w:sz="6" w:space="0"/>
            </w:tcBorders>
            <w:vAlign w:val="center"/>
          </w:tcPr>
          <w:p w14:paraId="541405CE">
            <w:pPr>
              <w:jc w:val="center"/>
              <w:rPr>
                <w:rFonts w:hint="default" w:ascii="Times New Roman" w:hAnsi="Times New Roman" w:cs="Times New Roman"/>
                <w:sz w:val="24"/>
                <w:szCs w:val="24"/>
                <w:highlight w:val="none"/>
              </w:rPr>
            </w:pPr>
            <w:bookmarkStart w:id="13" w:name="_GoBack"/>
            <w:bookmarkEnd w:id="13"/>
          </w:p>
        </w:tc>
      </w:tr>
      <w:tr w14:paraId="453D9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08" w:type="dxa"/>
            <w:tcBorders>
              <w:left w:val="single" w:color="000000" w:sz="6" w:space="0"/>
            </w:tcBorders>
            <w:vAlign w:val="center"/>
          </w:tcPr>
          <w:p w14:paraId="7052FDD8">
            <w:pPr>
              <w:spacing w:before="159" w:line="230" w:lineRule="auto"/>
              <w:jc w:val="center"/>
              <w:rPr>
                <w:rFonts w:ascii="宋体" w:hAnsi="宋体" w:eastAsia="宋体" w:cs="宋体"/>
                <w:sz w:val="24"/>
                <w:szCs w:val="24"/>
                <w:highlight w:val="none"/>
              </w:rPr>
            </w:pPr>
            <w:r>
              <w:rPr>
                <w:rFonts w:ascii="宋体" w:hAnsi="宋体" w:eastAsia="宋体" w:cs="宋体"/>
                <w:spacing w:val="9"/>
                <w:sz w:val="24"/>
                <w:szCs w:val="24"/>
                <w:highlight w:val="none"/>
              </w:rPr>
              <w:t>建</w:t>
            </w:r>
            <w:r>
              <w:rPr>
                <w:rFonts w:ascii="宋体" w:hAnsi="宋体" w:eastAsia="宋体" w:cs="宋体"/>
                <w:spacing w:val="6"/>
                <w:sz w:val="24"/>
                <w:szCs w:val="24"/>
                <w:highlight w:val="none"/>
              </w:rPr>
              <w:t>设地点</w:t>
            </w:r>
          </w:p>
        </w:tc>
        <w:tc>
          <w:tcPr>
            <w:tcW w:w="7366" w:type="dxa"/>
            <w:gridSpan w:val="3"/>
            <w:tcBorders>
              <w:right w:val="single" w:color="000000" w:sz="6" w:space="0"/>
            </w:tcBorders>
            <w:vAlign w:val="center"/>
          </w:tcPr>
          <w:p w14:paraId="72585662">
            <w:pPr>
              <w:tabs>
                <w:tab w:val="left" w:pos="425"/>
              </w:tabs>
              <w:spacing w:before="159" w:line="228"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bCs/>
                <w:sz w:val="24"/>
                <w:highlight w:val="none"/>
              </w:rPr>
              <w:t>福建省泉州市永春县蓬壶镇</w:t>
            </w:r>
            <w:r>
              <w:rPr>
                <w:rFonts w:hint="default" w:ascii="Times New Roman" w:hAnsi="Times New Roman" w:eastAsia="宋体" w:cs="Times New Roman"/>
                <w:bCs/>
                <w:sz w:val="24"/>
                <w:highlight w:val="none"/>
                <w:lang w:val="en-US" w:eastAsia="zh-CN"/>
              </w:rPr>
              <w:t>蓬壶工业园</w:t>
            </w:r>
            <w:r>
              <w:rPr>
                <w:rFonts w:hint="eastAsia" w:ascii="Times New Roman" w:hAnsi="Times New Roman" w:eastAsia="宋体" w:cs="Times New Roman"/>
                <w:bCs/>
                <w:sz w:val="24"/>
                <w:highlight w:val="none"/>
                <w:lang w:val="en-US" w:eastAsia="zh-CN"/>
              </w:rPr>
              <w:t>29</w:t>
            </w:r>
            <w:r>
              <w:rPr>
                <w:rFonts w:hint="default" w:ascii="Times New Roman" w:hAnsi="Times New Roman" w:eastAsia="宋体" w:cs="Times New Roman"/>
                <w:bCs/>
                <w:sz w:val="24"/>
                <w:highlight w:val="none"/>
                <w:lang w:val="en-US" w:eastAsia="zh-CN"/>
              </w:rPr>
              <w:t>号</w:t>
            </w:r>
            <w:r>
              <w:rPr>
                <w:rFonts w:hint="eastAsia" w:ascii="Times New Roman" w:hAnsi="Times New Roman" w:eastAsia="宋体" w:cs="Times New Roman"/>
                <w:bCs/>
                <w:sz w:val="24"/>
                <w:highlight w:val="none"/>
                <w:lang w:val="en-US" w:eastAsia="zh-CN"/>
              </w:rPr>
              <w:t>B栋、58号</w:t>
            </w:r>
          </w:p>
        </w:tc>
      </w:tr>
      <w:tr w14:paraId="6B571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08" w:type="dxa"/>
            <w:tcBorders>
              <w:left w:val="single" w:color="000000" w:sz="6" w:space="0"/>
            </w:tcBorders>
            <w:vAlign w:val="center"/>
          </w:tcPr>
          <w:p w14:paraId="537C124C">
            <w:pPr>
              <w:spacing w:before="159" w:line="229" w:lineRule="auto"/>
              <w:jc w:val="center"/>
              <w:rPr>
                <w:rFonts w:ascii="宋体" w:hAnsi="宋体" w:eastAsia="宋体" w:cs="宋体"/>
                <w:sz w:val="24"/>
                <w:szCs w:val="24"/>
                <w:highlight w:val="none"/>
              </w:rPr>
            </w:pPr>
            <w:r>
              <w:rPr>
                <w:rFonts w:ascii="宋体" w:hAnsi="宋体" w:eastAsia="宋体" w:cs="宋体"/>
                <w:spacing w:val="8"/>
                <w:sz w:val="24"/>
                <w:szCs w:val="24"/>
                <w:highlight w:val="none"/>
              </w:rPr>
              <w:t>地</w:t>
            </w:r>
            <w:r>
              <w:rPr>
                <w:rFonts w:ascii="宋体" w:hAnsi="宋体" w:eastAsia="宋体" w:cs="宋体"/>
                <w:spacing w:val="7"/>
                <w:sz w:val="24"/>
                <w:szCs w:val="24"/>
                <w:highlight w:val="none"/>
              </w:rPr>
              <w:t>理坐标</w:t>
            </w:r>
          </w:p>
        </w:tc>
        <w:tc>
          <w:tcPr>
            <w:tcW w:w="7366" w:type="dxa"/>
            <w:gridSpan w:val="3"/>
            <w:tcBorders>
              <w:right w:val="single" w:color="000000" w:sz="6" w:space="0"/>
            </w:tcBorders>
            <w:vAlign w:val="center"/>
          </w:tcPr>
          <w:p w14:paraId="0035D2AE">
            <w:pPr>
              <w:spacing w:before="159" w:line="229"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lang w:val="en-US" w:eastAsia="zh-CN"/>
              </w:rPr>
              <w:t>北纬</w:t>
            </w:r>
            <w:r>
              <w:rPr>
                <w:rFonts w:hint="default" w:ascii="Times New Roman" w:hAnsi="Times New Roman" w:eastAsia="宋体" w:cs="Times New Roman"/>
                <w:color w:val="auto"/>
                <w:spacing w:val="1"/>
                <w:sz w:val="24"/>
                <w:szCs w:val="24"/>
                <w:highlight w:val="none"/>
                <w:u w:val="single" w:color="auto"/>
                <w:lang w:val="en-US" w:eastAsia="zh-CN"/>
              </w:rPr>
              <w:t>25</w:t>
            </w:r>
            <w:r>
              <w:rPr>
                <w:rFonts w:hint="default" w:ascii="Times New Roman" w:hAnsi="Times New Roman" w:eastAsia="宋体" w:cs="Times New Roman"/>
                <w:color w:val="auto"/>
                <w:spacing w:val="1"/>
                <w:sz w:val="24"/>
                <w:szCs w:val="24"/>
                <w:highlight w:val="none"/>
              </w:rPr>
              <w:t>度</w:t>
            </w:r>
            <w:r>
              <w:rPr>
                <w:rFonts w:hint="default" w:ascii="Times New Roman" w:hAnsi="Times New Roman" w:eastAsia="宋体" w:cs="Times New Roman"/>
                <w:color w:val="auto"/>
                <w:spacing w:val="1"/>
                <w:sz w:val="24"/>
                <w:szCs w:val="24"/>
                <w:highlight w:val="none"/>
                <w:u w:val="single" w:color="auto"/>
                <w:lang w:val="en-US" w:eastAsia="zh-CN"/>
              </w:rPr>
              <w:t>2</w:t>
            </w:r>
            <w:r>
              <w:rPr>
                <w:rFonts w:hint="eastAsia" w:ascii="Times New Roman" w:hAnsi="Times New Roman" w:eastAsia="宋体" w:cs="Times New Roman"/>
                <w:color w:val="auto"/>
                <w:spacing w:val="1"/>
                <w:sz w:val="24"/>
                <w:szCs w:val="24"/>
                <w:highlight w:val="none"/>
                <w:u w:val="single" w:color="auto"/>
                <w:lang w:val="en-US" w:eastAsia="zh-CN"/>
              </w:rPr>
              <w:t>1</w:t>
            </w:r>
            <w:r>
              <w:rPr>
                <w:rFonts w:hint="default" w:ascii="Times New Roman" w:hAnsi="Times New Roman" w:eastAsia="宋体" w:cs="Times New Roman"/>
                <w:color w:val="auto"/>
                <w:spacing w:val="1"/>
                <w:sz w:val="24"/>
                <w:szCs w:val="24"/>
                <w:highlight w:val="none"/>
              </w:rPr>
              <w:t>分</w:t>
            </w:r>
            <w:r>
              <w:rPr>
                <w:rFonts w:hint="default" w:ascii="Times New Roman" w:hAnsi="Times New Roman" w:eastAsia="宋体" w:cs="Times New Roman"/>
                <w:color w:val="auto"/>
                <w:spacing w:val="1"/>
                <w:sz w:val="24"/>
                <w:szCs w:val="24"/>
                <w:highlight w:val="none"/>
                <w:u w:val="single" w:color="auto"/>
                <w:lang w:val="en-US" w:eastAsia="zh-CN"/>
              </w:rPr>
              <w:t>5</w:t>
            </w:r>
            <w:r>
              <w:rPr>
                <w:rFonts w:hint="eastAsia" w:ascii="Times New Roman" w:hAnsi="Times New Roman" w:eastAsia="宋体" w:cs="Times New Roman"/>
                <w:color w:val="auto"/>
                <w:spacing w:val="1"/>
                <w:sz w:val="24"/>
                <w:szCs w:val="24"/>
                <w:highlight w:val="none"/>
                <w:u w:val="single" w:color="auto"/>
                <w:lang w:val="en-US" w:eastAsia="zh-CN"/>
              </w:rPr>
              <w:t>0.481</w:t>
            </w:r>
            <w:r>
              <w:rPr>
                <w:rFonts w:hint="default" w:ascii="Times New Roman" w:hAnsi="Times New Roman" w:eastAsia="宋体" w:cs="Times New Roman"/>
                <w:color w:val="auto"/>
                <w:spacing w:val="1"/>
                <w:sz w:val="24"/>
                <w:szCs w:val="24"/>
                <w:highlight w:val="none"/>
              </w:rPr>
              <w:t>秒，</w:t>
            </w:r>
            <w:r>
              <w:rPr>
                <w:rFonts w:hint="default" w:ascii="Times New Roman" w:hAnsi="Times New Roman" w:eastAsia="宋体" w:cs="Times New Roman"/>
                <w:color w:val="auto"/>
                <w:spacing w:val="1"/>
                <w:sz w:val="24"/>
                <w:szCs w:val="24"/>
                <w:highlight w:val="none"/>
                <w:lang w:val="en-US" w:eastAsia="zh-CN"/>
              </w:rPr>
              <w:t>东经</w:t>
            </w:r>
            <w:r>
              <w:rPr>
                <w:rFonts w:hint="default" w:ascii="Times New Roman" w:hAnsi="Times New Roman" w:eastAsia="宋体" w:cs="Times New Roman"/>
                <w:color w:val="auto"/>
                <w:spacing w:val="1"/>
                <w:sz w:val="24"/>
                <w:szCs w:val="24"/>
                <w:highlight w:val="none"/>
                <w:u w:val="single" w:color="auto"/>
                <w:lang w:val="en-US" w:eastAsia="zh-CN"/>
              </w:rPr>
              <w:t>118</w:t>
            </w:r>
            <w:r>
              <w:rPr>
                <w:rFonts w:hint="default" w:ascii="Times New Roman" w:hAnsi="Times New Roman" w:eastAsia="宋体" w:cs="Times New Roman"/>
                <w:color w:val="auto"/>
                <w:spacing w:val="1"/>
                <w:sz w:val="24"/>
                <w:szCs w:val="24"/>
                <w:highlight w:val="none"/>
              </w:rPr>
              <w:t>度</w:t>
            </w:r>
            <w:r>
              <w:rPr>
                <w:rFonts w:hint="default" w:ascii="Times New Roman" w:hAnsi="Times New Roman" w:eastAsia="宋体" w:cs="Times New Roman"/>
                <w:color w:val="auto"/>
                <w:spacing w:val="1"/>
                <w:sz w:val="24"/>
                <w:szCs w:val="24"/>
                <w:highlight w:val="none"/>
                <w:u w:val="single" w:color="auto"/>
                <w:lang w:val="en-US" w:eastAsia="zh-CN"/>
              </w:rPr>
              <w:t>8</w:t>
            </w:r>
            <w:r>
              <w:rPr>
                <w:rFonts w:hint="default" w:ascii="Times New Roman" w:hAnsi="Times New Roman" w:eastAsia="宋体"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color="auto"/>
                <w:lang w:val="en-US" w:eastAsia="zh-CN"/>
              </w:rPr>
              <w:t>49.835</w:t>
            </w:r>
            <w:r>
              <w:rPr>
                <w:rFonts w:hint="default" w:ascii="Times New Roman" w:hAnsi="Times New Roman" w:eastAsia="宋体" w:cs="Times New Roman"/>
                <w:color w:val="auto"/>
                <w:sz w:val="24"/>
                <w:szCs w:val="24"/>
                <w:highlight w:val="none"/>
              </w:rPr>
              <w:t xml:space="preserve"> 秒</w:t>
            </w:r>
            <w:r>
              <w:rPr>
                <w:rFonts w:hint="eastAsia" w:ascii="Times New Roman" w:hAnsi="Times New Roman" w:eastAsia="宋体" w:cs="Times New Roman"/>
                <w:color w:val="auto"/>
                <w:sz w:val="24"/>
                <w:szCs w:val="24"/>
                <w:highlight w:val="none"/>
                <w:lang w:eastAsia="zh-CN"/>
              </w:rPr>
              <w:t>）</w:t>
            </w:r>
          </w:p>
        </w:tc>
      </w:tr>
      <w:tr w14:paraId="5A53D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1508" w:type="dxa"/>
            <w:tcBorders>
              <w:left w:val="single" w:color="000000" w:sz="6" w:space="0"/>
            </w:tcBorders>
            <w:vAlign w:val="center"/>
          </w:tcPr>
          <w:p w14:paraId="7644F1E0">
            <w:pPr>
              <w:spacing w:before="56" w:line="271" w:lineRule="exact"/>
              <w:jc w:val="center"/>
              <w:rPr>
                <w:rFonts w:ascii="宋体" w:hAnsi="宋体" w:eastAsia="宋体" w:cs="宋体"/>
                <w:sz w:val="24"/>
                <w:szCs w:val="24"/>
                <w:highlight w:val="none"/>
              </w:rPr>
            </w:pPr>
            <w:r>
              <w:rPr>
                <w:rFonts w:ascii="宋体" w:hAnsi="宋体" w:eastAsia="宋体" w:cs="宋体"/>
                <w:spacing w:val="3"/>
                <w:position w:val="4"/>
                <w:sz w:val="24"/>
                <w:szCs w:val="24"/>
                <w:highlight w:val="none"/>
              </w:rPr>
              <w:t>国</w:t>
            </w:r>
            <w:r>
              <w:rPr>
                <w:rFonts w:ascii="宋体" w:hAnsi="宋体" w:eastAsia="宋体" w:cs="宋体"/>
                <w:spacing w:val="2"/>
                <w:position w:val="4"/>
                <w:sz w:val="24"/>
                <w:szCs w:val="24"/>
                <w:highlight w:val="none"/>
              </w:rPr>
              <w:t>民经济</w:t>
            </w:r>
          </w:p>
          <w:p w14:paraId="5455156C">
            <w:pPr>
              <w:spacing w:line="228" w:lineRule="auto"/>
              <w:jc w:val="center"/>
              <w:rPr>
                <w:rFonts w:ascii="宋体" w:hAnsi="宋体" w:eastAsia="宋体" w:cs="宋体"/>
                <w:sz w:val="24"/>
                <w:szCs w:val="24"/>
                <w:highlight w:val="none"/>
              </w:rPr>
            </w:pPr>
            <w:r>
              <w:rPr>
                <w:rFonts w:ascii="宋体" w:hAnsi="宋体" w:eastAsia="宋体" w:cs="宋体"/>
                <w:spacing w:val="8"/>
                <w:sz w:val="24"/>
                <w:szCs w:val="24"/>
                <w:highlight w:val="none"/>
              </w:rPr>
              <w:t>行</w:t>
            </w:r>
            <w:r>
              <w:rPr>
                <w:rFonts w:ascii="宋体" w:hAnsi="宋体" w:eastAsia="宋体" w:cs="宋体"/>
                <w:spacing w:val="6"/>
                <w:sz w:val="24"/>
                <w:szCs w:val="24"/>
                <w:highlight w:val="none"/>
              </w:rPr>
              <w:t>业类别</w:t>
            </w:r>
          </w:p>
        </w:tc>
        <w:tc>
          <w:tcPr>
            <w:tcW w:w="2775" w:type="dxa"/>
            <w:vAlign w:val="center"/>
          </w:tcPr>
          <w:p w14:paraId="1D89F752">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C2319 包装装潢及其他印刷</w:t>
            </w:r>
          </w:p>
          <w:p w14:paraId="09C202E0">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C2929 塑料零件及其他塑料制品制造</w:t>
            </w:r>
          </w:p>
        </w:tc>
        <w:tc>
          <w:tcPr>
            <w:tcW w:w="1947" w:type="dxa"/>
            <w:vAlign w:val="center"/>
          </w:tcPr>
          <w:p w14:paraId="6811DFF0">
            <w:pPr>
              <w:spacing w:before="56" w:line="271"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9"/>
                <w:position w:val="4"/>
                <w:sz w:val="24"/>
                <w:szCs w:val="24"/>
                <w:highlight w:val="none"/>
              </w:rPr>
              <w:t>建</w:t>
            </w:r>
            <w:r>
              <w:rPr>
                <w:rFonts w:hint="default" w:ascii="Times New Roman" w:hAnsi="Times New Roman" w:eastAsia="宋体" w:cs="Times New Roman"/>
                <w:spacing w:val="6"/>
                <w:position w:val="4"/>
                <w:sz w:val="24"/>
                <w:szCs w:val="24"/>
                <w:highlight w:val="none"/>
              </w:rPr>
              <w:t>设项目</w:t>
            </w:r>
          </w:p>
          <w:p w14:paraId="3386E91C">
            <w:pPr>
              <w:spacing w:line="228"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8"/>
                <w:sz w:val="24"/>
                <w:szCs w:val="24"/>
                <w:highlight w:val="none"/>
              </w:rPr>
              <w:t>行</w:t>
            </w:r>
            <w:r>
              <w:rPr>
                <w:rFonts w:hint="default" w:ascii="Times New Roman" w:hAnsi="Times New Roman" w:eastAsia="宋体" w:cs="Times New Roman"/>
                <w:spacing w:val="6"/>
                <w:sz w:val="24"/>
                <w:szCs w:val="24"/>
                <w:highlight w:val="none"/>
              </w:rPr>
              <w:t>业类别</w:t>
            </w:r>
          </w:p>
        </w:tc>
        <w:tc>
          <w:tcPr>
            <w:tcW w:w="2644" w:type="dxa"/>
            <w:tcBorders>
              <w:right w:val="single" w:color="000000" w:sz="6" w:space="0"/>
            </w:tcBorders>
            <w:vAlign w:val="center"/>
          </w:tcPr>
          <w:p w14:paraId="1C350A9C">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二十、印刷和记录媒介复制业23-39印刷231*</w:t>
            </w:r>
          </w:p>
          <w:p w14:paraId="11BA291E">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二十六、橡胶和塑料制品业29-53塑料制品业292</w:t>
            </w:r>
          </w:p>
        </w:tc>
      </w:tr>
      <w:tr w14:paraId="6C5FC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1508" w:type="dxa"/>
            <w:tcBorders>
              <w:left w:val="single" w:color="000000" w:sz="6" w:space="0"/>
            </w:tcBorders>
            <w:vAlign w:val="center"/>
          </w:tcPr>
          <w:p w14:paraId="3B2CC020">
            <w:pPr>
              <w:spacing w:before="65" w:line="229" w:lineRule="auto"/>
              <w:jc w:val="center"/>
              <w:rPr>
                <w:rFonts w:ascii="宋体" w:hAnsi="宋体" w:eastAsia="宋体" w:cs="宋体"/>
                <w:sz w:val="24"/>
                <w:szCs w:val="24"/>
                <w:highlight w:val="none"/>
              </w:rPr>
            </w:pPr>
            <w:r>
              <w:rPr>
                <w:rFonts w:ascii="宋体" w:hAnsi="宋体" w:eastAsia="宋体" w:cs="宋体"/>
                <w:spacing w:val="9"/>
                <w:sz w:val="24"/>
                <w:szCs w:val="24"/>
                <w:highlight w:val="none"/>
              </w:rPr>
              <w:t>建</w:t>
            </w:r>
            <w:r>
              <w:rPr>
                <w:rFonts w:ascii="宋体" w:hAnsi="宋体" w:eastAsia="宋体" w:cs="宋体"/>
                <w:spacing w:val="6"/>
                <w:sz w:val="24"/>
                <w:szCs w:val="24"/>
                <w:highlight w:val="none"/>
              </w:rPr>
              <w:t>设性质</w:t>
            </w:r>
          </w:p>
        </w:tc>
        <w:tc>
          <w:tcPr>
            <w:tcW w:w="2775" w:type="dxa"/>
            <w:vAlign w:val="center"/>
          </w:tcPr>
          <w:p w14:paraId="09682F33">
            <w:pPr>
              <w:spacing w:before="110" w:line="229" w:lineRule="auto"/>
              <w:ind w:left="27"/>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pacing w:val="4"/>
                <w:sz w:val="24"/>
                <w:szCs w:val="24"/>
                <w:highlight w:val="none"/>
                <w:lang w:eastAsia="zh-CN"/>
              </w:rPr>
              <w:t>☑</w:t>
            </w:r>
            <w:r>
              <w:rPr>
                <w:rFonts w:hint="default" w:ascii="Times New Roman" w:hAnsi="Times New Roman" w:eastAsia="宋体" w:cs="Times New Roman"/>
                <w:spacing w:val="4"/>
                <w:sz w:val="24"/>
                <w:szCs w:val="24"/>
                <w:highlight w:val="none"/>
              </w:rPr>
              <w:t xml:space="preserve">新建 </w:t>
            </w:r>
            <w:r>
              <w:rPr>
                <w:rFonts w:hint="eastAsia" w:ascii="Times New Roman" w:hAnsi="Times New Roman" w:eastAsia="宋体" w:cs="Times New Roman"/>
                <w:spacing w:val="4"/>
                <w:sz w:val="24"/>
                <w:szCs w:val="24"/>
                <w:highlight w:val="none"/>
                <w:lang w:eastAsia="zh-CN"/>
              </w:rPr>
              <w:t>（</w:t>
            </w:r>
            <w:r>
              <w:rPr>
                <w:rFonts w:hint="default" w:ascii="Times New Roman" w:hAnsi="Times New Roman" w:eastAsia="宋体" w:cs="Times New Roman"/>
                <w:spacing w:val="4"/>
                <w:sz w:val="24"/>
                <w:szCs w:val="24"/>
                <w:highlight w:val="none"/>
              </w:rPr>
              <w:t>迁建</w:t>
            </w:r>
            <w:r>
              <w:rPr>
                <w:rFonts w:hint="eastAsia" w:ascii="Times New Roman" w:hAnsi="Times New Roman" w:eastAsia="宋体" w:cs="Times New Roman"/>
                <w:spacing w:val="2"/>
                <w:sz w:val="24"/>
                <w:szCs w:val="24"/>
                <w:highlight w:val="none"/>
                <w:lang w:eastAsia="zh-CN"/>
              </w:rPr>
              <w:t>）</w:t>
            </w:r>
          </w:p>
          <w:p w14:paraId="2747C2A4">
            <w:pPr>
              <w:spacing w:before="25" w:line="228" w:lineRule="auto"/>
              <w:ind w:left="27"/>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z w:val="24"/>
                <w:szCs w:val="24"/>
                <w:highlight w:val="none"/>
              </w:rPr>
              <w:t>改建</w:t>
            </w:r>
          </w:p>
          <w:p w14:paraId="33423718">
            <w:pPr>
              <w:spacing w:before="23" w:line="229" w:lineRule="auto"/>
              <w:ind w:left="27"/>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z w:val="24"/>
                <w:szCs w:val="24"/>
                <w:highlight w:val="none"/>
              </w:rPr>
              <w:t>扩建</w:t>
            </w:r>
          </w:p>
          <w:p w14:paraId="6B00FA10">
            <w:pPr>
              <w:spacing w:before="25" w:line="228" w:lineRule="auto"/>
              <w:ind w:left="27"/>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4"/>
                <w:sz w:val="24"/>
                <w:szCs w:val="24"/>
                <w:highlight w:val="none"/>
                <w:lang w:eastAsia="zh-CN"/>
              </w:rPr>
              <w:t>□</w:t>
            </w:r>
            <w:r>
              <w:rPr>
                <w:rFonts w:hint="default" w:ascii="Times New Roman" w:hAnsi="Times New Roman" w:eastAsia="宋体" w:cs="Times New Roman"/>
                <w:spacing w:val="4"/>
                <w:sz w:val="24"/>
                <w:szCs w:val="24"/>
                <w:highlight w:val="none"/>
              </w:rPr>
              <w:t>技术改</w:t>
            </w:r>
            <w:r>
              <w:rPr>
                <w:rFonts w:hint="default" w:ascii="Times New Roman" w:hAnsi="Times New Roman" w:eastAsia="宋体" w:cs="Times New Roman"/>
                <w:spacing w:val="3"/>
                <w:sz w:val="24"/>
                <w:szCs w:val="24"/>
                <w:highlight w:val="none"/>
              </w:rPr>
              <w:t>造</w:t>
            </w:r>
          </w:p>
        </w:tc>
        <w:tc>
          <w:tcPr>
            <w:tcW w:w="1947" w:type="dxa"/>
            <w:vAlign w:val="center"/>
          </w:tcPr>
          <w:p w14:paraId="3EBE5E0F">
            <w:pPr>
              <w:spacing w:before="65" w:line="274"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9"/>
                <w:position w:val="4"/>
                <w:sz w:val="24"/>
                <w:szCs w:val="24"/>
                <w:highlight w:val="none"/>
              </w:rPr>
              <w:t>建</w:t>
            </w:r>
            <w:r>
              <w:rPr>
                <w:rFonts w:hint="default" w:ascii="Times New Roman" w:hAnsi="Times New Roman" w:eastAsia="宋体" w:cs="Times New Roman"/>
                <w:spacing w:val="6"/>
                <w:position w:val="4"/>
                <w:sz w:val="24"/>
                <w:szCs w:val="24"/>
                <w:highlight w:val="none"/>
              </w:rPr>
              <w:t>设项目</w:t>
            </w:r>
          </w:p>
          <w:p w14:paraId="0AB847D2">
            <w:pPr>
              <w:spacing w:line="228"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申报</w:t>
            </w:r>
            <w:r>
              <w:rPr>
                <w:rFonts w:hint="default" w:ascii="Times New Roman" w:hAnsi="Times New Roman" w:eastAsia="宋体" w:cs="Times New Roman"/>
                <w:sz w:val="24"/>
                <w:szCs w:val="24"/>
                <w:highlight w:val="none"/>
              </w:rPr>
              <w:t>情形</w:t>
            </w:r>
          </w:p>
        </w:tc>
        <w:tc>
          <w:tcPr>
            <w:tcW w:w="2644" w:type="dxa"/>
            <w:tcBorders>
              <w:right w:val="single" w:color="000000" w:sz="6" w:space="0"/>
            </w:tcBorders>
            <w:vAlign w:val="center"/>
          </w:tcPr>
          <w:p w14:paraId="440BD018">
            <w:pPr>
              <w:spacing w:before="110" w:line="223" w:lineRule="auto"/>
              <w:ind w:left="23"/>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4"/>
                <w:sz w:val="24"/>
                <w:szCs w:val="24"/>
                <w:highlight w:val="none"/>
                <w:lang w:eastAsia="zh-CN"/>
              </w:rPr>
              <w:t>☑</w:t>
            </w:r>
            <w:r>
              <w:rPr>
                <w:rFonts w:hint="default" w:ascii="Times New Roman" w:hAnsi="Times New Roman" w:eastAsia="宋体" w:cs="Times New Roman"/>
                <w:spacing w:val="16"/>
                <w:sz w:val="24"/>
                <w:szCs w:val="24"/>
                <w:highlight w:val="none"/>
              </w:rPr>
              <w:t>首</w:t>
            </w:r>
            <w:r>
              <w:rPr>
                <w:rFonts w:hint="default" w:ascii="Times New Roman" w:hAnsi="Times New Roman" w:eastAsia="宋体" w:cs="Times New Roman"/>
                <w:spacing w:val="12"/>
                <w:sz w:val="24"/>
                <w:szCs w:val="24"/>
                <w:highlight w:val="none"/>
              </w:rPr>
              <w:t>次申报项目</w:t>
            </w:r>
          </w:p>
          <w:p w14:paraId="0129C9DD">
            <w:pPr>
              <w:spacing w:before="32" w:line="259" w:lineRule="auto"/>
              <w:ind w:left="23" w:right="110" w:firstLine="11"/>
              <w:rPr>
                <w:rFonts w:hint="default" w:ascii="Times New Roman" w:hAnsi="Times New Roman" w:eastAsia="宋体" w:cs="Times New Roman"/>
                <w:spacing w:val="7"/>
                <w:sz w:val="24"/>
                <w:szCs w:val="24"/>
                <w:highlight w:val="none"/>
              </w:rPr>
            </w:pPr>
            <w:r>
              <w:rPr>
                <w:rFonts w:hint="default" w:ascii="Times New Roman" w:hAnsi="Times New Roman" w:eastAsia="宋体" w:cs="Times New Roman"/>
                <w:spacing w:val="11"/>
                <w:sz w:val="24"/>
                <w:szCs w:val="24"/>
                <w:highlight w:val="none"/>
                <w:lang w:eastAsia="zh-CN"/>
              </w:rPr>
              <w:t>□</w:t>
            </w:r>
            <w:r>
              <w:rPr>
                <w:rFonts w:hint="default" w:ascii="Times New Roman" w:hAnsi="Times New Roman" w:eastAsia="宋体" w:cs="Times New Roman"/>
                <w:spacing w:val="7"/>
                <w:sz w:val="24"/>
                <w:szCs w:val="24"/>
                <w:highlight w:val="none"/>
              </w:rPr>
              <w:t>不予批准后再次申报项目</w:t>
            </w:r>
          </w:p>
          <w:p w14:paraId="3054941A">
            <w:pPr>
              <w:spacing w:before="32" w:line="259" w:lineRule="auto"/>
              <w:ind w:left="23" w:right="110" w:firstLine="11"/>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12"/>
                <w:sz w:val="24"/>
                <w:szCs w:val="24"/>
                <w:highlight w:val="none"/>
              </w:rPr>
              <w:t>超五年重新审核项</w:t>
            </w:r>
            <w:r>
              <w:rPr>
                <w:rFonts w:hint="default" w:ascii="Times New Roman" w:hAnsi="Times New Roman" w:eastAsia="宋体" w:cs="Times New Roman"/>
                <w:spacing w:val="11"/>
                <w:sz w:val="24"/>
                <w:szCs w:val="24"/>
                <w:highlight w:val="none"/>
              </w:rPr>
              <w:t>目</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8"/>
                <w:sz w:val="24"/>
                <w:szCs w:val="24"/>
                <w:highlight w:val="none"/>
              </w:rPr>
              <w:t>□重大变动重新报批项目</w:t>
            </w:r>
          </w:p>
        </w:tc>
      </w:tr>
      <w:tr w14:paraId="365DA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1508" w:type="dxa"/>
            <w:tcBorders>
              <w:left w:val="single" w:color="000000" w:sz="6" w:space="0"/>
            </w:tcBorders>
            <w:vAlign w:val="center"/>
          </w:tcPr>
          <w:p w14:paraId="116D224A">
            <w:pPr>
              <w:spacing w:line="240" w:lineRule="auto"/>
              <w:ind w:right="0"/>
              <w:jc w:val="center"/>
              <w:rPr>
                <w:rFonts w:hint="eastAsia" w:ascii="宋体" w:hAnsi="宋体" w:eastAsia="宋体" w:cs="宋体"/>
                <w:sz w:val="24"/>
                <w:szCs w:val="24"/>
                <w:highlight w:val="none"/>
                <w:lang w:eastAsia="zh-CN"/>
              </w:rPr>
            </w:pPr>
            <w:r>
              <w:rPr>
                <w:rFonts w:ascii="宋体" w:hAnsi="宋体" w:eastAsia="宋体" w:cs="宋体"/>
                <w:spacing w:val="8"/>
                <w:sz w:val="24"/>
                <w:szCs w:val="24"/>
                <w:highlight w:val="none"/>
              </w:rPr>
              <w:t>项</w:t>
            </w:r>
            <w:r>
              <w:rPr>
                <w:rFonts w:ascii="宋体" w:hAnsi="宋体" w:eastAsia="宋体" w:cs="宋体"/>
                <w:spacing w:val="7"/>
                <w:sz w:val="24"/>
                <w:szCs w:val="24"/>
                <w:highlight w:val="none"/>
              </w:rPr>
              <w:t>目审批</w:t>
            </w:r>
            <w:r>
              <w:rPr>
                <w:rFonts w:hint="eastAsia" w:ascii="宋体" w:hAnsi="宋体" w:eastAsia="宋体" w:cs="宋体"/>
                <w:spacing w:val="7"/>
                <w:sz w:val="24"/>
                <w:szCs w:val="24"/>
                <w:highlight w:val="none"/>
                <w:lang w:eastAsia="zh-CN"/>
              </w:rPr>
              <w:t>（</w:t>
            </w:r>
            <w:r>
              <w:rPr>
                <w:rFonts w:ascii="宋体" w:hAnsi="宋体" w:eastAsia="宋体" w:cs="宋体"/>
                <w:spacing w:val="7"/>
                <w:sz w:val="24"/>
                <w:szCs w:val="24"/>
                <w:highlight w:val="none"/>
              </w:rPr>
              <w:t>核准/</w:t>
            </w:r>
            <w:r>
              <w:rPr>
                <w:rFonts w:ascii="宋体" w:hAnsi="宋体" w:eastAsia="宋体" w:cs="宋体"/>
                <w:spacing w:val="9"/>
                <w:sz w:val="24"/>
                <w:szCs w:val="24"/>
                <w:highlight w:val="none"/>
              </w:rPr>
              <w:t>备</w:t>
            </w:r>
            <w:r>
              <w:rPr>
                <w:rFonts w:ascii="宋体" w:hAnsi="宋体" w:eastAsia="宋体" w:cs="宋体"/>
                <w:spacing w:val="5"/>
                <w:sz w:val="24"/>
                <w:szCs w:val="24"/>
                <w:highlight w:val="none"/>
              </w:rPr>
              <w:t>案</w:t>
            </w:r>
            <w:r>
              <w:rPr>
                <w:rFonts w:hint="eastAsia" w:ascii="宋体" w:hAnsi="宋体" w:eastAsia="宋体" w:cs="宋体"/>
                <w:spacing w:val="5"/>
                <w:sz w:val="24"/>
                <w:szCs w:val="24"/>
                <w:highlight w:val="none"/>
                <w:lang w:eastAsia="zh-CN"/>
              </w:rPr>
              <w:t>）</w:t>
            </w:r>
            <w:r>
              <w:rPr>
                <w:rFonts w:ascii="宋体" w:hAnsi="宋体" w:eastAsia="宋体" w:cs="宋体"/>
                <w:spacing w:val="5"/>
                <w:sz w:val="24"/>
                <w:szCs w:val="24"/>
                <w:highlight w:val="none"/>
              </w:rPr>
              <w:t>部门</w:t>
            </w:r>
            <w:r>
              <w:rPr>
                <w:rFonts w:hint="eastAsia" w:ascii="宋体" w:hAnsi="宋体" w:eastAsia="宋体" w:cs="宋体"/>
                <w:spacing w:val="5"/>
                <w:sz w:val="24"/>
                <w:szCs w:val="24"/>
                <w:highlight w:val="none"/>
                <w:lang w:eastAsia="zh-CN"/>
              </w:rPr>
              <w:t>（</w:t>
            </w:r>
            <w:r>
              <w:rPr>
                <w:rFonts w:ascii="宋体" w:hAnsi="宋体" w:eastAsia="宋体" w:cs="宋体"/>
                <w:spacing w:val="5"/>
                <w:sz w:val="24"/>
                <w:szCs w:val="24"/>
                <w:highlight w:val="none"/>
              </w:rPr>
              <w:t>选填</w:t>
            </w:r>
            <w:r>
              <w:rPr>
                <w:rFonts w:hint="eastAsia" w:ascii="宋体" w:hAnsi="宋体" w:eastAsia="宋体" w:cs="宋体"/>
                <w:spacing w:val="5"/>
                <w:sz w:val="24"/>
                <w:szCs w:val="24"/>
                <w:highlight w:val="none"/>
                <w:lang w:eastAsia="zh-CN"/>
              </w:rPr>
              <w:t>）</w:t>
            </w:r>
          </w:p>
        </w:tc>
        <w:tc>
          <w:tcPr>
            <w:tcW w:w="2775" w:type="dxa"/>
            <w:vAlign w:val="center"/>
          </w:tcPr>
          <w:p w14:paraId="37244362">
            <w:pP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永春县发展和改革局</w:t>
            </w:r>
          </w:p>
        </w:tc>
        <w:tc>
          <w:tcPr>
            <w:tcW w:w="1947" w:type="dxa"/>
            <w:vAlign w:val="center"/>
          </w:tcPr>
          <w:p w14:paraId="3FBB6452">
            <w:pPr>
              <w:keepNext w:val="0"/>
              <w:keepLines w:val="0"/>
              <w:pageBreakBefore w:val="0"/>
              <w:widowControl/>
              <w:kinsoku w:val="0"/>
              <w:wordWrap w:val="0"/>
              <w:overflowPunct/>
              <w:topLinePunct w:val="0"/>
              <w:autoSpaceDE w:val="0"/>
              <w:autoSpaceDN w:val="0"/>
              <w:bidi w:val="0"/>
              <w:adjustRightInd w:val="0"/>
              <w:snapToGrid w:val="0"/>
              <w:spacing w:line="240" w:lineRule="auto"/>
              <w:ind w:left="0" w:right="0" w:firstLine="0"/>
              <w:textAlignment w:val="baseline"/>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pacing w:val="7"/>
                <w:sz w:val="24"/>
                <w:szCs w:val="24"/>
                <w:highlight w:val="none"/>
              </w:rPr>
              <w:t xml:space="preserve">项目审批 </w:t>
            </w:r>
            <w:r>
              <w:rPr>
                <w:rFonts w:hint="eastAsia" w:ascii="Times New Roman" w:hAnsi="Times New Roman" w:eastAsia="宋体" w:cs="Times New Roman"/>
                <w:spacing w:val="7"/>
                <w:sz w:val="24"/>
                <w:szCs w:val="24"/>
                <w:highlight w:val="none"/>
                <w:lang w:eastAsia="zh-CN"/>
              </w:rPr>
              <w:t>（</w:t>
            </w:r>
            <w:r>
              <w:rPr>
                <w:rFonts w:hint="default" w:ascii="Times New Roman" w:hAnsi="Times New Roman" w:eastAsia="宋体" w:cs="Times New Roman"/>
                <w:spacing w:val="7"/>
                <w:sz w:val="24"/>
                <w:szCs w:val="24"/>
                <w:highlight w:val="none"/>
              </w:rPr>
              <w:t>核准</w:t>
            </w:r>
            <w:r>
              <w:rPr>
                <w:rFonts w:hint="default" w:ascii="Times New Roman" w:hAnsi="Times New Roman" w:eastAsia="宋体" w:cs="Times New Roman"/>
                <w:spacing w:val="5"/>
                <w:sz w:val="24"/>
                <w:szCs w:val="24"/>
                <w:highlight w:val="none"/>
              </w:rPr>
              <w:t>/</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9"/>
                <w:sz w:val="24"/>
                <w:szCs w:val="24"/>
                <w:highlight w:val="none"/>
              </w:rPr>
              <w:t>备</w:t>
            </w:r>
            <w:r>
              <w:rPr>
                <w:rFonts w:hint="default" w:ascii="Times New Roman" w:hAnsi="Times New Roman" w:eastAsia="宋体" w:cs="Times New Roman"/>
                <w:spacing w:val="5"/>
                <w:sz w:val="24"/>
                <w:szCs w:val="24"/>
                <w:highlight w:val="none"/>
              </w:rPr>
              <w:t>案</w:t>
            </w:r>
            <w:r>
              <w:rPr>
                <w:rFonts w:hint="eastAsia" w:ascii="Times New Roman" w:hAnsi="Times New Roman" w:eastAsia="宋体" w:cs="Times New Roman"/>
                <w:spacing w:val="5"/>
                <w:sz w:val="24"/>
                <w:szCs w:val="24"/>
                <w:highlight w:val="none"/>
                <w:lang w:eastAsia="zh-CN"/>
              </w:rPr>
              <w:t>）</w:t>
            </w:r>
            <w:r>
              <w:rPr>
                <w:rFonts w:hint="default" w:ascii="Times New Roman" w:hAnsi="Times New Roman" w:eastAsia="宋体" w:cs="Times New Roman"/>
                <w:spacing w:val="5"/>
                <w:sz w:val="24"/>
                <w:szCs w:val="24"/>
                <w:highlight w:val="none"/>
              </w:rPr>
              <w:t>文号</w:t>
            </w:r>
            <w:r>
              <w:rPr>
                <w:rFonts w:hint="eastAsia" w:ascii="Times New Roman" w:hAnsi="Times New Roman" w:eastAsia="宋体" w:cs="Times New Roman"/>
                <w:spacing w:val="5"/>
                <w:sz w:val="24"/>
                <w:szCs w:val="24"/>
                <w:highlight w:val="none"/>
                <w:lang w:eastAsia="zh-CN"/>
              </w:rPr>
              <w:t>（</w:t>
            </w:r>
            <w:r>
              <w:rPr>
                <w:rFonts w:hint="default" w:ascii="Times New Roman" w:hAnsi="Times New Roman" w:eastAsia="宋体" w:cs="Times New Roman"/>
                <w:spacing w:val="5"/>
                <w:sz w:val="24"/>
                <w:szCs w:val="24"/>
                <w:highlight w:val="none"/>
              </w:rPr>
              <w:t>选填</w:t>
            </w:r>
            <w:r>
              <w:rPr>
                <w:rFonts w:hint="eastAsia" w:ascii="Times New Roman" w:hAnsi="Times New Roman" w:eastAsia="宋体" w:cs="Times New Roman"/>
                <w:spacing w:val="5"/>
                <w:sz w:val="24"/>
                <w:szCs w:val="24"/>
                <w:highlight w:val="none"/>
                <w:lang w:eastAsia="zh-CN"/>
              </w:rPr>
              <w:t>）</w:t>
            </w:r>
          </w:p>
        </w:tc>
        <w:tc>
          <w:tcPr>
            <w:tcW w:w="2644" w:type="dxa"/>
            <w:tcBorders>
              <w:right w:val="single" w:color="000000" w:sz="6" w:space="0"/>
            </w:tcBorders>
            <w:vAlign w:val="center"/>
          </w:tcPr>
          <w:p w14:paraId="7050EAD0">
            <w:pPr>
              <w:keepNext w:val="0"/>
              <w:keepLines w:val="0"/>
              <w:pageBreakBefore w:val="0"/>
              <w:widowControl/>
              <w:kinsoku w:val="0"/>
              <w:wordWrap w:val="0"/>
              <w:overflowPunct/>
              <w:topLinePunct w:val="0"/>
              <w:autoSpaceDE w:val="0"/>
              <w:autoSpaceDN w:val="0"/>
              <w:bidi w:val="0"/>
              <w:adjustRightInd w:val="0"/>
              <w:snapToGrid w:val="0"/>
              <w:textAlignment w:val="baseline"/>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闽发改备〔2024〕C101218号</w:t>
            </w:r>
          </w:p>
        </w:tc>
      </w:tr>
      <w:tr w14:paraId="421AC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508" w:type="dxa"/>
            <w:tcBorders>
              <w:left w:val="single" w:color="000000" w:sz="6" w:space="0"/>
            </w:tcBorders>
            <w:vAlign w:val="center"/>
          </w:tcPr>
          <w:p w14:paraId="707A08F6">
            <w:pPr>
              <w:spacing w:line="240" w:lineRule="auto"/>
              <w:jc w:val="center"/>
              <w:rPr>
                <w:rFonts w:hint="eastAsia" w:ascii="宋体" w:hAnsi="宋体" w:eastAsia="宋体" w:cs="宋体"/>
                <w:sz w:val="24"/>
                <w:szCs w:val="24"/>
                <w:highlight w:val="none"/>
                <w:lang w:eastAsia="zh-CN"/>
              </w:rPr>
            </w:pPr>
            <w:r>
              <w:rPr>
                <w:rFonts w:ascii="宋体" w:hAnsi="宋体" w:eastAsia="宋体" w:cs="宋体"/>
                <w:spacing w:val="6"/>
                <w:sz w:val="24"/>
                <w:szCs w:val="24"/>
                <w:highlight w:val="none"/>
              </w:rPr>
              <w:t>总投资</w:t>
            </w:r>
          </w:p>
        </w:tc>
        <w:tc>
          <w:tcPr>
            <w:tcW w:w="2775" w:type="dxa"/>
            <w:vAlign w:val="center"/>
          </w:tcPr>
          <w:p w14:paraId="5E94FD03">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000</w:t>
            </w:r>
            <w:r>
              <w:rPr>
                <w:rFonts w:hint="default" w:ascii="Times New Roman" w:hAnsi="Times New Roman" w:eastAsia="宋体" w:cs="Times New Roman"/>
                <w:spacing w:val="6"/>
                <w:sz w:val="24"/>
                <w:szCs w:val="24"/>
                <w:highlight w:val="none"/>
              </w:rPr>
              <w:t>万元</w:t>
            </w:r>
          </w:p>
        </w:tc>
        <w:tc>
          <w:tcPr>
            <w:tcW w:w="1947" w:type="dxa"/>
            <w:vAlign w:val="center"/>
          </w:tcPr>
          <w:p w14:paraId="0475F952">
            <w:pPr>
              <w:spacing w:line="240" w:lineRule="auto"/>
              <w:jc w:val="center"/>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pacing w:val="12"/>
                <w:sz w:val="24"/>
                <w:szCs w:val="24"/>
                <w:highlight w:val="none"/>
              </w:rPr>
              <w:t>环</w:t>
            </w:r>
            <w:r>
              <w:rPr>
                <w:rFonts w:hint="default" w:ascii="Times New Roman" w:hAnsi="Times New Roman" w:eastAsia="宋体" w:cs="Times New Roman"/>
                <w:spacing w:val="6"/>
                <w:sz w:val="24"/>
                <w:szCs w:val="24"/>
                <w:highlight w:val="none"/>
              </w:rPr>
              <w:t>保投资</w:t>
            </w:r>
          </w:p>
        </w:tc>
        <w:tc>
          <w:tcPr>
            <w:tcW w:w="2644" w:type="dxa"/>
            <w:tcBorders>
              <w:right w:val="single" w:color="000000" w:sz="6" w:space="0"/>
            </w:tcBorders>
            <w:vAlign w:val="center"/>
          </w:tcPr>
          <w:p w14:paraId="6FC7210C">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50</w:t>
            </w:r>
            <w:r>
              <w:rPr>
                <w:rFonts w:hint="default" w:ascii="Times New Roman" w:hAnsi="Times New Roman" w:eastAsia="宋体" w:cs="Times New Roman"/>
                <w:spacing w:val="6"/>
                <w:sz w:val="24"/>
                <w:szCs w:val="24"/>
                <w:highlight w:val="none"/>
              </w:rPr>
              <w:t>万元</w:t>
            </w:r>
          </w:p>
        </w:tc>
      </w:tr>
      <w:tr w14:paraId="7D537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08" w:type="dxa"/>
            <w:tcBorders>
              <w:left w:val="single" w:color="000000" w:sz="6" w:space="0"/>
            </w:tcBorders>
            <w:vAlign w:val="center"/>
          </w:tcPr>
          <w:p w14:paraId="497E74D7">
            <w:pPr>
              <w:spacing w:line="240" w:lineRule="auto"/>
              <w:jc w:val="center"/>
              <w:rPr>
                <w:rFonts w:hint="eastAsia" w:ascii="宋体" w:hAnsi="宋体" w:eastAsia="宋体" w:cs="宋体"/>
                <w:sz w:val="24"/>
                <w:szCs w:val="24"/>
                <w:highlight w:val="none"/>
                <w:lang w:eastAsia="zh-CN"/>
              </w:rPr>
            </w:pPr>
            <w:r>
              <w:rPr>
                <w:rFonts w:ascii="宋体" w:hAnsi="宋体" w:eastAsia="宋体" w:cs="宋体"/>
                <w:spacing w:val="11"/>
                <w:sz w:val="24"/>
                <w:szCs w:val="24"/>
                <w:highlight w:val="none"/>
              </w:rPr>
              <w:t>环</w:t>
            </w:r>
            <w:r>
              <w:rPr>
                <w:rFonts w:ascii="宋体" w:hAnsi="宋体" w:eastAsia="宋体" w:cs="宋体"/>
                <w:spacing w:val="6"/>
                <w:sz w:val="24"/>
                <w:szCs w:val="24"/>
                <w:highlight w:val="none"/>
              </w:rPr>
              <w:t>保投资占比</w:t>
            </w:r>
          </w:p>
        </w:tc>
        <w:tc>
          <w:tcPr>
            <w:tcW w:w="2775" w:type="dxa"/>
            <w:vAlign w:val="center"/>
          </w:tcPr>
          <w:p w14:paraId="1B8657A2">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val="en-US" w:eastAsia="zh-CN"/>
              </w:rPr>
              <w:t>%</w:t>
            </w:r>
          </w:p>
        </w:tc>
        <w:tc>
          <w:tcPr>
            <w:tcW w:w="1947" w:type="dxa"/>
            <w:vAlign w:val="center"/>
          </w:tcPr>
          <w:p w14:paraId="631DA543">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施工工期</w:t>
            </w:r>
          </w:p>
        </w:tc>
        <w:tc>
          <w:tcPr>
            <w:tcW w:w="2644" w:type="dxa"/>
            <w:tcBorders>
              <w:right w:val="single" w:color="000000" w:sz="6" w:space="0"/>
            </w:tcBorders>
            <w:vAlign w:val="center"/>
          </w:tcPr>
          <w:p w14:paraId="329B9870">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1个月</w:t>
            </w:r>
          </w:p>
        </w:tc>
      </w:tr>
      <w:tr w14:paraId="47592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508" w:type="dxa"/>
            <w:tcBorders>
              <w:left w:val="single" w:color="000000" w:sz="6" w:space="0"/>
            </w:tcBorders>
            <w:vAlign w:val="center"/>
          </w:tcPr>
          <w:p w14:paraId="368EC6F1">
            <w:pPr>
              <w:spacing w:line="240" w:lineRule="auto"/>
              <w:jc w:val="center"/>
              <w:rPr>
                <w:rFonts w:ascii="宋体" w:hAnsi="宋体" w:eastAsia="宋体" w:cs="宋体"/>
                <w:sz w:val="24"/>
                <w:szCs w:val="24"/>
                <w:highlight w:val="none"/>
              </w:rPr>
            </w:pPr>
            <w:r>
              <w:rPr>
                <w:rFonts w:ascii="宋体" w:hAnsi="宋体" w:eastAsia="宋体" w:cs="宋体"/>
                <w:spacing w:val="11"/>
                <w:sz w:val="24"/>
                <w:szCs w:val="24"/>
                <w:highlight w:val="none"/>
              </w:rPr>
              <w:t>是</w:t>
            </w:r>
            <w:r>
              <w:rPr>
                <w:rFonts w:ascii="宋体" w:hAnsi="宋体" w:eastAsia="宋体" w:cs="宋体"/>
                <w:spacing w:val="7"/>
                <w:sz w:val="24"/>
                <w:szCs w:val="24"/>
                <w:highlight w:val="none"/>
              </w:rPr>
              <w:t>否开工建设</w:t>
            </w:r>
          </w:p>
        </w:tc>
        <w:tc>
          <w:tcPr>
            <w:tcW w:w="2775" w:type="dxa"/>
            <w:vAlign w:val="center"/>
          </w:tcPr>
          <w:p w14:paraId="26A100A7">
            <w:pPr>
              <w:spacing w:before="48" w:line="271" w:lineRule="exact"/>
              <w:ind w:left="15"/>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4"/>
                <w:sz w:val="24"/>
                <w:szCs w:val="24"/>
                <w:highlight w:val="none"/>
                <w:lang w:eastAsia="zh-CN"/>
              </w:rPr>
              <w:t>☑</w:t>
            </w:r>
            <w:r>
              <w:rPr>
                <w:rFonts w:hint="default" w:ascii="Times New Roman" w:hAnsi="Times New Roman" w:eastAsia="宋体" w:cs="Times New Roman"/>
                <w:spacing w:val="27"/>
                <w:position w:val="4"/>
                <w:sz w:val="24"/>
                <w:szCs w:val="24"/>
                <w:highlight w:val="none"/>
              </w:rPr>
              <w:t>否</w:t>
            </w:r>
          </w:p>
          <w:p w14:paraId="66BEA710">
            <w:pPr>
              <w:spacing w:line="206" w:lineRule="auto"/>
              <w:ind w:left="15"/>
              <w:rPr>
                <w:rFonts w:hint="default" w:ascii="Times New Roman" w:hAnsi="Times New Roman" w:eastAsia="宋体" w:cs="Times New Roman"/>
                <w:sz w:val="24"/>
                <w:szCs w:val="24"/>
                <w:highlight w:val="none"/>
              </w:rPr>
            </w:pPr>
            <w:r>
              <w:rPr>
                <w:rFonts w:hint="eastAsia" w:ascii="Times New Roman" w:hAnsi="Times New Roman" w:eastAsia="宋体" w:cs="Times New Roman"/>
                <w:spacing w:val="4"/>
                <w:sz w:val="24"/>
                <w:szCs w:val="24"/>
                <w:highlight w:val="none"/>
                <w:lang w:eastAsia="zh-CN"/>
              </w:rPr>
              <w:t>□</w:t>
            </w:r>
            <w:r>
              <w:rPr>
                <w:rFonts w:hint="default" w:ascii="Times New Roman" w:hAnsi="Times New Roman" w:eastAsia="宋体" w:cs="Times New Roman"/>
                <w:spacing w:val="14"/>
                <w:sz w:val="24"/>
                <w:szCs w:val="24"/>
                <w:highlight w:val="none"/>
              </w:rPr>
              <w:t>是</w:t>
            </w:r>
            <w:r>
              <w:rPr>
                <w:rFonts w:hint="default" w:ascii="Times New Roman" w:hAnsi="Times New Roman" w:eastAsia="宋体" w:cs="Times New Roman"/>
                <w:spacing w:val="13"/>
                <w:sz w:val="24"/>
                <w:szCs w:val="24"/>
                <w:highlight w:val="none"/>
              </w:rPr>
              <w:t>：</w:t>
            </w:r>
          </w:p>
        </w:tc>
        <w:tc>
          <w:tcPr>
            <w:tcW w:w="1947" w:type="dxa"/>
            <w:vAlign w:val="center"/>
          </w:tcPr>
          <w:p w14:paraId="24A068EE">
            <w:pPr>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用地</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用海</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面积</w:t>
            </w:r>
          </w:p>
        </w:tc>
        <w:tc>
          <w:tcPr>
            <w:tcW w:w="2644" w:type="dxa"/>
            <w:tcBorders>
              <w:right w:val="single" w:color="000000" w:sz="6" w:space="0"/>
            </w:tcBorders>
            <w:vAlign w:val="center"/>
          </w:tcPr>
          <w:p w14:paraId="646155B2">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8633.82</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p>
        </w:tc>
      </w:tr>
      <w:tr w14:paraId="50682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1508" w:type="dxa"/>
            <w:tcBorders>
              <w:left w:val="single" w:color="000000" w:sz="6" w:space="0"/>
            </w:tcBorders>
            <w:vAlign w:val="center"/>
          </w:tcPr>
          <w:p w14:paraId="329318FB">
            <w:pPr>
              <w:spacing w:before="65" w:line="227" w:lineRule="auto"/>
              <w:jc w:val="center"/>
              <w:rPr>
                <w:rFonts w:ascii="宋体" w:hAnsi="宋体" w:eastAsia="宋体" w:cs="宋体"/>
                <w:sz w:val="24"/>
                <w:szCs w:val="24"/>
                <w:highlight w:val="none"/>
              </w:rPr>
            </w:pPr>
            <w:r>
              <w:rPr>
                <w:rFonts w:ascii="宋体" w:hAnsi="宋体" w:eastAsia="宋体" w:cs="宋体"/>
                <w:spacing w:val="12"/>
                <w:sz w:val="24"/>
                <w:szCs w:val="24"/>
                <w:highlight w:val="none"/>
              </w:rPr>
              <w:t>专</w:t>
            </w:r>
            <w:r>
              <w:rPr>
                <w:rFonts w:ascii="宋体" w:hAnsi="宋体" w:eastAsia="宋体" w:cs="宋体"/>
                <w:spacing w:val="8"/>
                <w:sz w:val="24"/>
                <w:szCs w:val="24"/>
                <w:highlight w:val="none"/>
              </w:rPr>
              <w:t>项评价设置情况</w:t>
            </w:r>
          </w:p>
        </w:tc>
        <w:tc>
          <w:tcPr>
            <w:tcW w:w="7366" w:type="dxa"/>
            <w:gridSpan w:val="3"/>
            <w:tcBorders>
              <w:right w:val="single" w:color="000000" w:sz="6" w:space="0"/>
            </w:tcBorders>
            <w:vAlign w:val="top"/>
          </w:tcPr>
          <w:p w14:paraId="0B2AB6A3">
            <w:pPr>
              <w:autoSpaceDE w:val="0"/>
              <w:autoSpaceDN w:val="0"/>
              <w:spacing w:line="360" w:lineRule="auto"/>
              <w:ind w:firstLine="480" w:firstLineChars="200"/>
              <w:jc w:val="left"/>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根据《建设项目环境影响报告表编制技术指南</w:t>
            </w:r>
            <w:r>
              <w:rPr>
                <w:rFonts w:hint="eastAsia" w:ascii="Times New Roman" w:hAnsi="Times New Roman" w:eastAsia="宋体" w:cs="Times New Roman"/>
                <w:kern w:val="0"/>
                <w:sz w:val="24"/>
                <w:highlight w:val="none"/>
                <w:lang w:eastAsia="zh-CN"/>
              </w:rPr>
              <w:t>（</w:t>
            </w:r>
            <w:r>
              <w:rPr>
                <w:rFonts w:hint="default" w:ascii="Times New Roman" w:hAnsi="Times New Roman" w:cs="Times New Roman"/>
                <w:kern w:val="0"/>
                <w:sz w:val="24"/>
                <w:highlight w:val="none"/>
              </w:rPr>
              <w:t>污染影响类</w:t>
            </w:r>
            <w:r>
              <w:rPr>
                <w:rFonts w:hint="eastAsia" w:ascii="Times New Roman" w:hAnsi="Times New Roman" w:eastAsia="宋体" w:cs="Times New Roman"/>
                <w:kern w:val="0"/>
                <w:sz w:val="24"/>
                <w:highlight w:val="none"/>
                <w:lang w:eastAsia="zh-CN"/>
              </w:rPr>
              <w:t>）（</w:t>
            </w:r>
            <w:r>
              <w:rPr>
                <w:rFonts w:hint="default" w:ascii="Times New Roman" w:hAnsi="Times New Roman" w:cs="Times New Roman"/>
                <w:kern w:val="0"/>
                <w:sz w:val="24"/>
                <w:highlight w:val="none"/>
              </w:rPr>
              <w:t>试行</w:t>
            </w:r>
            <w:r>
              <w:rPr>
                <w:rFonts w:hint="eastAsia" w:ascii="Times New Roman" w:hAnsi="Times New Roman" w:eastAsia="宋体" w:cs="Times New Roman"/>
                <w:kern w:val="0"/>
                <w:sz w:val="24"/>
                <w:highlight w:val="none"/>
                <w:lang w:eastAsia="zh-CN"/>
              </w:rPr>
              <w:t>）</w:t>
            </w:r>
            <w:r>
              <w:rPr>
                <w:rFonts w:hint="default" w:ascii="Times New Roman" w:hAnsi="Times New Roman" w:cs="Times New Roman"/>
                <w:kern w:val="0"/>
                <w:sz w:val="24"/>
                <w:highlight w:val="none"/>
              </w:rPr>
              <w:t>》，项目工程专项评价设置情况详见表1</w:t>
            </w:r>
            <w:r>
              <w:rPr>
                <w:rFonts w:hint="eastAsia" w:ascii="Times New Roman" w:hAnsi="Times New Roman" w:eastAsia="宋体" w:cs="Times New Roman"/>
                <w:kern w:val="0"/>
                <w:sz w:val="24"/>
                <w:highlight w:val="none"/>
                <w:lang w:val="en-US" w:eastAsia="zh-CN"/>
              </w:rPr>
              <w:t>-</w:t>
            </w:r>
            <w:r>
              <w:rPr>
                <w:rFonts w:hint="default" w:ascii="Times New Roman" w:hAnsi="Times New Roman" w:cs="Times New Roman"/>
                <w:kern w:val="0"/>
                <w:sz w:val="24"/>
                <w:highlight w:val="none"/>
              </w:rPr>
              <w:t>1。</w:t>
            </w:r>
          </w:p>
          <w:p w14:paraId="2909A858">
            <w:pPr>
              <w:autoSpaceDE w:val="0"/>
              <w:autoSpaceDN w:val="0"/>
              <w:spacing w:before="120" w:beforeLines="50" w:line="360" w:lineRule="auto"/>
              <w:jc w:val="center"/>
              <w:rPr>
                <w:rFonts w:hint="default" w:ascii="Times New Roman" w:hAnsi="Times New Roman" w:cs="Times New Roman"/>
                <w:sz w:val="24"/>
                <w:szCs w:val="24"/>
                <w:highlight w:val="none"/>
              </w:rPr>
            </w:pPr>
            <w:r>
              <w:rPr>
                <w:rFonts w:hint="default" w:ascii="Times New Roman" w:hAnsi="Times New Roman" w:cs="Times New Roman"/>
                <w:b/>
                <w:bCs/>
                <w:kern w:val="0"/>
                <w:sz w:val="24"/>
                <w:szCs w:val="24"/>
                <w:highlight w:val="none"/>
              </w:rPr>
              <w:t>表1</w:t>
            </w:r>
            <w:r>
              <w:rPr>
                <w:rFonts w:hint="eastAsia" w:ascii="Times New Roman" w:hAnsi="Times New Roman" w:eastAsia="宋体" w:cs="Times New Roman"/>
                <w:b/>
                <w:bCs/>
                <w:kern w:val="0"/>
                <w:sz w:val="24"/>
                <w:szCs w:val="24"/>
                <w:highlight w:val="none"/>
                <w:lang w:val="en-US" w:eastAsia="zh-CN"/>
              </w:rPr>
              <w:t>-</w:t>
            </w:r>
            <w:r>
              <w:rPr>
                <w:rFonts w:hint="default" w:ascii="Times New Roman" w:hAnsi="Times New Roman" w:cs="Times New Roman"/>
                <w:b/>
                <w:bCs/>
                <w:kern w:val="0"/>
                <w:sz w:val="24"/>
                <w:szCs w:val="24"/>
                <w:highlight w:val="none"/>
              </w:rPr>
              <w:t>1 项目专项评价设置表</w:t>
            </w:r>
          </w:p>
          <w:tbl>
            <w:tblPr>
              <w:tblStyle w:val="17"/>
              <w:tblW w:w="73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744"/>
              <w:gridCol w:w="2744"/>
              <w:gridCol w:w="1110"/>
            </w:tblGrid>
            <w:tr w14:paraId="3535B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noWrap w:val="0"/>
                  <w:vAlign w:val="center"/>
                </w:tcPr>
                <w:p w14:paraId="4571AFF3">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类别</w:t>
                  </w:r>
                </w:p>
              </w:tc>
              <w:tc>
                <w:tcPr>
                  <w:tcW w:w="2744" w:type="dxa"/>
                  <w:noWrap w:val="0"/>
                  <w:vAlign w:val="center"/>
                </w:tcPr>
                <w:p w14:paraId="1567AE7C">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设置原则</w:t>
                  </w:r>
                </w:p>
              </w:tc>
              <w:tc>
                <w:tcPr>
                  <w:tcW w:w="2744" w:type="dxa"/>
                  <w:noWrap w:val="0"/>
                  <w:vAlign w:val="center"/>
                </w:tcPr>
                <w:p w14:paraId="5EF2348A">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项目情况</w:t>
                  </w:r>
                </w:p>
              </w:tc>
              <w:tc>
                <w:tcPr>
                  <w:tcW w:w="1110" w:type="dxa"/>
                  <w:noWrap w:val="0"/>
                  <w:vAlign w:val="center"/>
                </w:tcPr>
                <w:p w14:paraId="57C615E0">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是否设置专项评价</w:t>
                  </w:r>
                </w:p>
              </w:tc>
            </w:tr>
            <w:tr w14:paraId="02049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noWrap w:val="0"/>
                  <w:vAlign w:val="center"/>
                </w:tcPr>
                <w:p w14:paraId="492D8BE2">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大气</w:t>
                  </w:r>
                </w:p>
              </w:tc>
              <w:tc>
                <w:tcPr>
                  <w:tcW w:w="2744" w:type="dxa"/>
                  <w:noWrap w:val="0"/>
                  <w:vAlign w:val="center"/>
                </w:tcPr>
                <w:p w14:paraId="436FE183">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排放废气含有毒有害污染物</w:t>
                  </w:r>
                  <w:r>
                    <w:rPr>
                      <w:rFonts w:hint="default" w:ascii="Times New Roman" w:hAnsi="Times New Roman" w:cs="Times New Roman"/>
                      <w:kern w:val="0"/>
                      <w:szCs w:val="21"/>
                      <w:highlight w:val="none"/>
                      <w:vertAlign w:val="superscript"/>
                    </w:rPr>
                    <w:t>1</w:t>
                  </w:r>
                  <w:r>
                    <w:rPr>
                      <w:rFonts w:hint="default" w:ascii="Times New Roman" w:hAnsi="Times New Roman" w:cs="Times New Roman"/>
                      <w:kern w:val="0"/>
                      <w:szCs w:val="21"/>
                      <w:highlight w:val="none"/>
                    </w:rPr>
                    <w:t>、二噁英、苯并</w:t>
                  </w:r>
                  <w:r>
                    <w:rPr>
                      <w:rFonts w:hint="eastAsia" w:ascii="Times New Roman" w:hAnsi="Times New Roman" w:eastAsia="宋体" w:cs="Times New Roman"/>
                      <w:kern w:val="0"/>
                      <w:szCs w:val="21"/>
                      <w:highlight w:val="none"/>
                      <w:lang w:eastAsia="zh-CN"/>
                    </w:rPr>
                    <w:t>〔</w:t>
                  </w:r>
                  <w:r>
                    <w:rPr>
                      <w:rFonts w:hint="default" w:ascii="Times New Roman" w:hAnsi="Times New Roman" w:cs="Times New Roman"/>
                      <w:kern w:val="0"/>
                      <w:szCs w:val="21"/>
                      <w:highlight w:val="none"/>
                    </w:rPr>
                    <w:t>a</w:t>
                  </w:r>
                  <w:r>
                    <w:rPr>
                      <w:rFonts w:hint="eastAsia" w:ascii="Times New Roman" w:hAnsi="Times New Roman" w:eastAsia="宋体" w:cs="Times New Roman"/>
                      <w:kern w:val="0"/>
                      <w:szCs w:val="21"/>
                      <w:highlight w:val="none"/>
                      <w:lang w:eastAsia="zh-CN"/>
                    </w:rPr>
                    <w:t>〕</w:t>
                  </w:r>
                  <w:r>
                    <w:rPr>
                      <w:rFonts w:hint="default" w:ascii="Times New Roman" w:hAnsi="Times New Roman" w:cs="Times New Roman"/>
                      <w:kern w:val="0"/>
                      <w:szCs w:val="21"/>
                      <w:highlight w:val="none"/>
                    </w:rPr>
                    <w:t>芘、氰化物、氯气且厂界外500m范围内有环境空气保护目标</w:t>
                  </w:r>
                  <w:r>
                    <w:rPr>
                      <w:rFonts w:hint="eastAsia" w:ascii="Times New Roman" w:hAnsi="Times New Roman" w:eastAsia="宋体" w:cs="Times New Roman"/>
                      <w:kern w:val="0"/>
                      <w:szCs w:val="21"/>
                      <w:highlight w:val="none"/>
                      <w:vertAlign w:val="superscript"/>
                      <w:lang w:val="en-US" w:eastAsia="zh-CN"/>
                    </w:rPr>
                    <w:t>2</w:t>
                  </w:r>
                  <w:r>
                    <w:rPr>
                      <w:rFonts w:hint="default" w:ascii="Times New Roman" w:hAnsi="Times New Roman" w:cs="Times New Roman"/>
                      <w:kern w:val="0"/>
                      <w:szCs w:val="21"/>
                      <w:highlight w:val="none"/>
                    </w:rPr>
                    <w:t>的建设项目</w:t>
                  </w:r>
                </w:p>
              </w:tc>
              <w:tc>
                <w:tcPr>
                  <w:tcW w:w="2744" w:type="dxa"/>
                  <w:noWrap w:val="0"/>
                  <w:vAlign w:val="center"/>
                </w:tcPr>
                <w:p w14:paraId="654B7F71">
                  <w:pPr>
                    <w:autoSpaceDE w:val="0"/>
                    <w:autoSpaceDN w:val="0"/>
                    <w:spacing w:line="340" w:lineRule="exact"/>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eastAsia="zh-CN"/>
                    </w:rPr>
                    <w:t>项目大气污染物主要为非甲烷总烃</w:t>
                  </w:r>
                  <w:r>
                    <w:rPr>
                      <w:rFonts w:hint="eastAsia" w:ascii="Times New Roman" w:hAnsi="Times New Roman" w:eastAsia="宋体" w:cs="Times New Roman"/>
                      <w:kern w:val="0"/>
                      <w:sz w:val="21"/>
                      <w:szCs w:val="21"/>
                      <w:highlight w:val="none"/>
                      <w:lang w:eastAsia="zh-CN"/>
                    </w:rPr>
                    <w:t>，不涉及左侧有毒有害废气</w:t>
                  </w:r>
                  <w:r>
                    <w:rPr>
                      <w:rFonts w:hint="eastAsia" w:ascii="Times New Roman" w:hAnsi="Times New Roman" w:eastAsia="宋体" w:cs="Times New Roman"/>
                      <w:kern w:val="0"/>
                      <w:sz w:val="21"/>
                      <w:szCs w:val="21"/>
                      <w:highlight w:val="none"/>
                      <w:lang w:val="en-US" w:eastAsia="zh-CN"/>
                    </w:rPr>
                    <w:t>污染物</w:t>
                  </w:r>
                  <w:r>
                    <w:rPr>
                      <w:rFonts w:hint="eastAsia" w:ascii="Times New Roman" w:hAnsi="Times New Roman" w:eastAsia="宋体" w:cs="Times New Roman"/>
                      <w:kern w:val="0"/>
                      <w:sz w:val="21"/>
                      <w:szCs w:val="21"/>
                      <w:highlight w:val="none"/>
                      <w:lang w:eastAsia="zh-CN"/>
                    </w:rPr>
                    <w:t>排放</w:t>
                  </w:r>
                </w:p>
              </w:tc>
              <w:tc>
                <w:tcPr>
                  <w:tcW w:w="1110" w:type="dxa"/>
                  <w:noWrap w:val="0"/>
                  <w:vAlign w:val="center"/>
                </w:tcPr>
                <w:p w14:paraId="670F6D76">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否</w:t>
                  </w:r>
                </w:p>
              </w:tc>
            </w:tr>
            <w:tr w14:paraId="4D62A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noWrap w:val="0"/>
                  <w:vAlign w:val="center"/>
                </w:tcPr>
                <w:p w14:paraId="1049709B">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地表水</w:t>
                  </w:r>
                </w:p>
              </w:tc>
              <w:tc>
                <w:tcPr>
                  <w:tcW w:w="2744" w:type="dxa"/>
                  <w:noWrap w:val="0"/>
                  <w:vAlign w:val="center"/>
                </w:tcPr>
                <w:p w14:paraId="1E8DFE62">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新增工业废水直排建设项目</w:t>
                  </w:r>
                  <w:r>
                    <w:rPr>
                      <w:rFonts w:hint="eastAsia" w:ascii="Times New Roman" w:hAnsi="Times New Roman" w:eastAsia="宋体" w:cs="Times New Roman"/>
                      <w:kern w:val="0"/>
                      <w:szCs w:val="21"/>
                      <w:highlight w:val="none"/>
                      <w:lang w:eastAsia="zh-CN"/>
                    </w:rPr>
                    <w:t>（</w:t>
                  </w:r>
                  <w:r>
                    <w:rPr>
                      <w:rFonts w:hint="default" w:ascii="Times New Roman" w:hAnsi="Times New Roman" w:cs="Times New Roman"/>
                      <w:kern w:val="0"/>
                      <w:szCs w:val="21"/>
                      <w:highlight w:val="none"/>
                    </w:rPr>
                    <w:t>槽罐车外送污水处理厂的除外</w:t>
                  </w:r>
                  <w:r>
                    <w:rPr>
                      <w:rFonts w:hint="eastAsia" w:ascii="Times New Roman" w:hAnsi="Times New Roman" w:eastAsia="宋体" w:cs="Times New Roman"/>
                      <w:kern w:val="0"/>
                      <w:szCs w:val="21"/>
                      <w:highlight w:val="none"/>
                      <w:lang w:eastAsia="zh-CN"/>
                    </w:rPr>
                    <w:t>）</w:t>
                  </w:r>
                  <w:r>
                    <w:rPr>
                      <w:rFonts w:hint="default" w:ascii="Times New Roman" w:hAnsi="Times New Roman" w:cs="Times New Roman"/>
                      <w:kern w:val="0"/>
                      <w:szCs w:val="21"/>
                      <w:highlight w:val="none"/>
                    </w:rPr>
                    <w:t>；新增废水直排的污水集中处理厂。</w:t>
                  </w:r>
                </w:p>
              </w:tc>
              <w:tc>
                <w:tcPr>
                  <w:tcW w:w="2744" w:type="dxa"/>
                  <w:noWrap w:val="0"/>
                  <w:vAlign w:val="center"/>
                </w:tcPr>
                <w:p w14:paraId="355297CF">
                  <w:pPr>
                    <w:autoSpaceDE w:val="0"/>
                    <w:autoSpaceDN w:val="0"/>
                    <w:spacing w:line="34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eastAsia="宋体" w:cs="Times New Roman"/>
                      <w:kern w:val="0"/>
                      <w:szCs w:val="21"/>
                      <w:highlight w:val="none"/>
                      <w:lang w:val="en-US" w:eastAsia="zh-CN"/>
                    </w:rPr>
                    <w:t>项目无生产废水，</w:t>
                  </w:r>
                  <w:r>
                    <w:rPr>
                      <w:rFonts w:hint="eastAsia" w:ascii="Times New Roman" w:hAnsi="Times New Roman" w:eastAsia="宋体" w:cs="Times New Roman"/>
                      <w:color w:val="auto"/>
                      <w:kern w:val="0"/>
                      <w:szCs w:val="21"/>
                      <w:highlight w:val="none"/>
                      <w:lang w:val="en-US" w:eastAsia="zh-CN"/>
                    </w:rPr>
                    <w:t>外排废水仅为生活污水；</w:t>
                  </w:r>
                  <w:r>
                    <w:rPr>
                      <w:rFonts w:hint="default" w:ascii="Times New Roman" w:hAnsi="Times New Roman" w:eastAsia="宋体" w:cs="Times New Roman"/>
                      <w:color w:val="auto"/>
                      <w:kern w:val="0"/>
                      <w:szCs w:val="21"/>
                      <w:highlight w:val="none"/>
                      <w:lang w:val="en-US" w:eastAsia="zh-CN"/>
                    </w:rPr>
                    <w:t>生</w:t>
                  </w:r>
                  <w:r>
                    <w:rPr>
                      <w:rFonts w:hint="default" w:ascii="Times New Roman" w:hAnsi="Times New Roman" w:eastAsia="宋体" w:cs="Times New Roman"/>
                      <w:kern w:val="0"/>
                      <w:szCs w:val="21"/>
                      <w:highlight w:val="none"/>
                      <w:lang w:val="en-US" w:eastAsia="zh-CN"/>
                    </w:rPr>
                    <w:t>活污水通过市政污水管网纳入永春县蓬壶镇污水处理厂处理</w:t>
                  </w:r>
                </w:p>
              </w:tc>
              <w:tc>
                <w:tcPr>
                  <w:tcW w:w="1110" w:type="dxa"/>
                  <w:noWrap w:val="0"/>
                  <w:vAlign w:val="center"/>
                </w:tcPr>
                <w:p w14:paraId="24BC0DE4">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否</w:t>
                  </w:r>
                </w:p>
              </w:tc>
            </w:tr>
            <w:tr w14:paraId="63614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noWrap w:val="0"/>
                  <w:vAlign w:val="center"/>
                </w:tcPr>
                <w:p w14:paraId="642E05DC">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环境风险</w:t>
                  </w:r>
                </w:p>
              </w:tc>
              <w:tc>
                <w:tcPr>
                  <w:tcW w:w="2744" w:type="dxa"/>
                  <w:noWrap w:val="0"/>
                  <w:vAlign w:val="center"/>
                </w:tcPr>
                <w:p w14:paraId="79D1DE71">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有毒有害和易燃易爆危险物质存储量超过临界量</w:t>
                  </w:r>
                  <w:r>
                    <w:rPr>
                      <w:rFonts w:hint="default" w:ascii="Times New Roman" w:hAnsi="Times New Roman" w:cs="Times New Roman"/>
                      <w:kern w:val="0"/>
                      <w:szCs w:val="21"/>
                      <w:highlight w:val="none"/>
                      <w:vertAlign w:val="superscript"/>
                    </w:rPr>
                    <w:t>3</w:t>
                  </w:r>
                  <w:r>
                    <w:rPr>
                      <w:rFonts w:hint="default" w:ascii="Times New Roman" w:hAnsi="Times New Roman" w:cs="Times New Roman"/>
                      <w:kern w:val="0"/>
                      <w:szCs w:val="21"/>
                      <w:highlight w:val="none"/>
                    </w:rPr>
                    <w:t>的建设项目。</w:t>
                  </w:r>
                </w:p>
              </w:tc>
              <w:tc>
                <w:tcPr>
                  <w:tcW w:w="2744" w:type="dxa"/>
                  <w:noWrap w:val="0"/>
                  <w:vAlign w:val="center"/>
                </w:tcPr>
                <w:p w14:paraId="0C3083C3">
                  <w:pPr>
                    <w:autoSpaceDE w:val="0"/>
                    <w:autoSpaceDN w:val="0"/>
                    <w:spacing w:line="340" w:lineRule="exact"/>
                    <w:jc w:val="center"/>
                    <w:rPr>
                      <w:rFonts w:hint="default" w:ascii="Times New Roman" w:hAnsi="Times New Roman" w:eastAsia="宋体" w:cs="Times New Roman"/>
                      <w:kern w:val="0"/>
                      <w:szCs w:val="21"/>
                      <w:highlight w:val="none"/>
                      <w:lang w:eastAsia="zh-CN"/>
                    </w:rPr>
                  </w:pPr>
                  <w:r>
                    <w:rPr>
                      <w:rFonts w:hint="default" w:ascii="Times New Roman" w:hAnsi="Times New Roman" w:eastAsia="宋体" w:cs="Times New Roman"/>
                      <w:kern w:val="0"/>
                      <w:szCs w:val="21"/>
                      <w:highlight w:val="none"/>
                      <w:lang w:val="en-US" w:eastAsia="zh-CN"/>
                    </w:rPr>
                    <w:t>项目涉及的危险物质未超过临界量</w:t>
                  </w:r>
                </w:p>
              </w:tc>
              <w:tc>
                <w:tcPr>
                  <w:tcW w:w="1110" w:type="dxa"/>
                  <w:noWrap w:val="0"/>
                  <w:vAlign w:val="center"/>
                </w:tcPr>
                <w:p w14:paraId="135CF4AB">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否</w:t>
                  </w:r>
                </w:p>
              </w:tc>
            </w:tr>
            <w:tr w14:paraId="0EC86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5" w:type="dxa"/>
                  <w:noWrap w:val="0"/>
                  <w:vAlign w:val="center"/>
                </w:tcPr>
                <w:p w14:paraId="66B43322">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生态</w:t>
                  </w:r>
                </w:p>
              </w:tc>
              <w:tc>
                <w:tcPr>
                  <w:tcW w:w="2744" w:type="dxa"/>
                  <w:noWrap w:val="0"/>
                  <w:vAlign w:val="center"/>
                </w:tcPr>
                <w:p w14:paraId="480D4268">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取水口下游500m范围内有重要水生生物的自然产卵场、索饵场、越冬场和洄游通道的新增河道取水的污染类建设项目</w:t>
                  </w:r>
                </w:p>
              </w:tc>
              <w:tc>
                <w:tcPr>
                  <w:tcW w:w="2744" w:type="dxa"/>
                  <w:noWrap w:val="0"/>
                  <w:vAlign w:val="center"/>
                </w:tcPr>
                <w:p w14:paraId="1FFBA3DD">
                  <w:pPr>
                    <w:autoSpaceDE w:val="0"/>
                    <w:autoSpaceDN w:val="0"/>
                    <w:spacing w:line="340" w:lineRule="exact"/>
                    <w:jc w:val="center"/>
                    <w:rPr>
                      <w:rFonts w:hint="eastAsia" w:ascii="Times New Roman" w:hAnsi="Times New Roman" w:eastAsia="宋体" w:cs="Times New Roman"/>
                      <w:kern w:val="0"/>
                      <w:szCs w:val="21"/>
                      <w:highlight w:val="none"/>
                      <w:lang w:eastAsia="zh-CN"/>
                    </w:rPr>
                  </w:pPr>
                  <w:r>
                    <w:rPr>
                      <w:rFonts w:hint="eastAsia" w:cs="宋体"/>
                      <w:kern w:val="0"/>
                      <w:szCs w:val="21"/>
                      <w:highlight w:val="none"/>
                    </w:rPr>
                    <w:t>项目不涉及</w:t>
                  </w:r>
                </w:p>
              </w:tc>
              <w:tc>
                <w:tcPr>
                  <w:tcW w:w="1110" w:type="dxa"/>
                  <w:noWrap w:val="0"/>
                  <w:vAlign w:val="center"/>
                </w:tcPr>
                <w:p w14:paraId="01E2E7B1">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否</w:t>
                  </w:r>
                </w:p>
              </w:tc>
            </w:tr>
            <w:tr w14:paraId="1B86E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65" w:type="dxa"/>
                  <w:noWrap w:val="0"/>
                  <w:vAlign w:val="center"/>
                </w:tcPr>
                <w:p w14:paraId="76B8518E">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海洋</w:t>
                  </w:r>
                </w:p>
              </w:tc>
              <w:tc>
                <w:tcPr>
                  <w:tcW w:w="2744" w:type="dxa"/>
                  <w:noWrap w:val="0"/>
                  <w:vAlign w:val="center"/>
                </w:tcPr>
                <w:p w14:paraId="780CF7A9">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直接向海排放污染物的海洋工程建设项目</w:t>
                  </w:r>
                </w:p>
              </w:tc>
              <w:tc>
                <w:tcPr>
                  <w:tcW w:w="2744" w:type="dxa"/>
                  <w:noWrap w:val="0"/>
                  <w:vAlign w:val="center"/>
                </w:tcPr>
                <w:p w14:paraId="0E628589">
                  <w:pPr>
                    <w:autoSpaceDE w:val="0"/>
                    <w:autoSpaceDN w:val="0"/>
                    <w:spacing w:line="340" w:lineRule="exact"/>
                    <w:jc w:val="center"/>
                    <w:rPr>
                      <w:rFonts w:hint="eastAsia" w:ascii="Times New Roman" w:hAnsi="Times New Roman" w:eastAsia="宋体" w:cs="Times New Roman"/>
                      <w:kern w:val="0"/>
                      <w:szCs w:val="21"/>
                      <w:highlight w:val="none"/>
                      <w:lang w:eastAsia="zh-CN"/>
                    </w:rPr>
                  </w:pPr>
                  <w:r>
                    <w:rPr>
                      <w:rFonts w:hint="eastAsia" w:cs="宋体"/>
                      <w:kern w:val="0"/>
                      <w:szCs w:val="21"/>
                      <w:highlight w:val="none"/>
                    </w:rPr>
                    <w:t>本项目不属于海洋工程建设项目</w:t>
                  </w:r>
                </w:p>
              </w:tc>
              <w:tc>
                <w:tcPr>
                  <w:tcW w:w="1110" w:type="dxa"/>
                  <w:noWrap w:val="0"/>
                  <w:vAlign w:val="center"/>
                </w:tcPr>
                <w:p w14:paraId="7FE978E4">
                  <w:pPr>
                    <w:autoSpaceDE w:val="0"/>
                    <w:autoSpaceDN w:val="0"/>
                    <w:spacing w:line="34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否</w:t>
                  </w:r>
                </w:p>
              </w:tc>
            </w:tr>
            <w:tr w14:paraId="0FD32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3" w:type="dxa"/>
                  <w:gridSpan w:val="4"/>
                  <w:noWrap w:val="0"/>
                  <w:vAlign w:val="center"/>
                </w:tcPr>
                <w:p w14:paraId="6694BFCB">
                  <w:pPr>
                    <w:autoSpaceDE w:val="0"/>
                    <w:autoSpaceDN w:val="0"/>
                    <w:spacing w:line="340" w:lineRule="exact"/>
                    <w:jc w:val="both"/>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注：1、废气中有毒有害污染物指纳入《有毒有害大气污染物名录》的污染物（不包括无排放标准的污染物）。</w:t>
                  </w:r>
                </w:p>
                <w:p w14:paraId="223DCF61">
                  <w:pPr>
                    <w:autoSpaceDE w:val="0"/>
                    <w:autoSpaceDN w:val="0"/>
                    <w:spacing w:line="340" w:lineRule="exact"/>
                    <w:jc w:val="both"/>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2、环境空气保护目标指自然保护区、风景名胜区、居住区、文化区和农村地区中人群较集中的区域。</w:t>
                  </w:r>
                </w:p>
                <w:p w14:paraId="53D9E668">
                  <w:pPr>
                    <w:autoSpaceDE w:val="0"/>
                    <w:autoSpaceDN w:val="0"/>
                    <w:spacing w:line="340" w:lineRule="exact"/>
                    <w:jc w:val="both"/>
                    <w:rPr>
                      <w:rFonts w:hint="default" w:ascii="Times New Roman" w:hAnsi="Times New Roman" w:cs="Times New Roman"/>
                      <w:kern w:val="0"/>
                      <w:szCs w:val="21"/>
                      <w:highlight w:val="none"/>
                    </w:rPr>
                  </w:pPr>
                  <w:r>
                    <w:rPr>
                      <w:rFonts w:hint="default" w:ascii="Times New Roman" w:hAnsi="Times New Roman" w:cs="Times New Roman"/>
                      <w:color w:val="auto"/>
                      <w:kern w:val="0"/>
                      <w:szCs w:val="21"/>
                      <w:highlight w:val="none"/>
                    </w:rPr>
                    <w:t>3、临界量及其计算方法可参考《建设项目环境风险评价技术导则》（</w:t>
                  </w:r>
                  <w:r>
                    <w:rPr>
                      <w:rFonts w:hint="eastAsia" w:ascii="Times New Roman" w:hAnsi="Times New Roman" w:eastAsia="宋体" w:cs="Times New Roman"/>
                      <w:color w:val="auto"/>
                      <w:kern w:val="0"/>
                      <w:szCs w:val="21"/>
                      <w:highlight w:val="none"/>
                      <w:lang w:eastAsia="zh-CN"/>
                    </w:rPr>
                    <w:t>HJ 169</w:t>
                  </w:r>
                  <w:r>
                    <w:rPr>
                      <w:rFonts w:hint="default" w:ascii="Times New Roman" w:hAnsi="Times New Roman" w:cs="Times New Roman"/>
                      <w:color w:val="auto"/>
                      <w:kern w:val="0"/>
                      <w:szCs w:val="21"/>
                      <w:highlight w:val="none"/>
                    </w:rPr>
                    <w:t>）附录B、附录C。</w:t>
                  </w:r>
                </w:p>
              </w:tc>
            </w:tr>
          </w:tbl>
          <w:p w14:paraId="21393C1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sz w:val="24"/>
                <w:szCs w:val="24"/>
                <w:highlight w:val="none"/>
              </w:rPr>
            </w:pPr>
            <w:r>
              <w:rPr>
                <w:rFonts w:hint="default" w:ascii="Times New Roman" w:hAnsi="Times New Roman" w:cs="Times New Roman"/>
                <w:kern w:val="0"/>
                <w:sz w:val="24"/>
                <w:highlight w:val="none"/>
              </w:rPr>
              <w:t>由表1</w:t>
            </w:r>
            <w:r>
              <w:rPr>
                <w:rFonts w:hint="eastAsia" w:ascii="Times New Roman" w:hAnsi="Times New Roman" w:eastAsia="宋体" w:cs="Times New Roman"/>
                <w:kern w:val="0"/>
                <w:sz w:val="24"/>
                <w:highlight w:val="none"/>
                <w:lang w:val="en-US" w:eastAsia="zh-CN"/>
              </w:rPr>
              <w:t>-</w:t>
            </w:r>
            <w:r>
              <w:rPr>
                <w:rFonts w:hint="default" w:ascii="Times New Roman" w:hAnsi="Times New Roman" w:cs="Times New Roman"/>
                <w:kern w:val="0"/>
                <w:sz w:val="24"/>
                <w:highlight w:val="none"/>
              </w:rPr>
              <w:t>1可知，本项目不设置专项评价。</w:t>
            </w:r>
          </w:p>
        </w:tc>
      </w:tr>
      <w:tr w14:paraId="04935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508" w:type="dxa"/>
            <w:tcBorders>
              <w:left w:val="single" w:color="000000" w:sz="6" w:space="0"/>
            </w:tcBorders>
            <w:vAlign w:val="center"/>
          </w:tcPr>
          <w:p w14:paraId="568B5A35">
            <w:pPr>
              <w:spacing w:before="65" w:line="229" w:lineRule="auto"/>
              <w:jc w:val="center"/>
              <w:rPr>
                <w:rFonts w:ascii="宋体" w:hAnsi="宋体" w:eastAsia="宋体" w:cs="宋体"/>
                <w:sz w:val="24"/>
                <w:szCs w:val="24"/>
                <w:highlight w:val="none"/>
              </w:rPr>
            </w:pPr>
            <w:r>
              <w:rPr>
                <w:rFonts w:ascii="宋体" w:hAnsi="宋体" w:eastAsia="宋体" w:cs="宋体"/>
                <w:spacing w:val="7"/>
                <w:sz w:val="24"/>
                <w:szCs w:val="24"/>
                <w:highlight w:val="none"/>
              </w:rPr>
              <w:t>规划情况</w:t>
            </w:r>
          </w:p>
        </w:tc>
        <w:tc>
          <w:tcPr>
            <w:tcW w:w="7366" w:type="dxa"/>
            <w:gridSpan w:val="3"/>
            <w:tcBorders>
              <w:right w:val="single" w:color="000000" w:sz="6" w:space="0"/>
            </w:tcBorders>
            <w:vAlign w:val="top"/>
          </w:tcPr>
          <w:p w14:paraId="2E5E02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kern w:val="0"/>
                <w:sz w:val="24"/>
                <w:szCs w:val="24"/>
                <w:highlight w:val="none"/>
                <w:lang w:val="en-US" w:eastAsia="zh-CN" w:bidi="ar"/>
              </w:rPr>
              <w:t>1、规划名称</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：《永春县蓬壶镇工业园区控制性详细规划》</w:t>
            </w:r>
          </w:p>
          <w:p w14:paraId="6381C59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highlight w:val="none"/>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审批机关：永春县人民政府</w:t>
            </w:r>
            <w:r>
              <w:rPr>
                <w:rFonts w:hint="default" w:ascii="Times New Roman" w:hAnsi="Times New Roman" w:eastAsia="宋体" w:cs="Times New Roman"/>
                <w:color w:val="000000"/>
                <w:kern w:val="0"/>
                <w:sz w:val="24"/>
                <w:szCs w:val="24"/>
                <w:highlight w:val="none"/>
                <w:lang w:val="en-US" w:eastAsia="zh-CN" w:bidi="ar"/>
              </w:rPr>
              <w:t xml:space="preserve"> </w:t>
            </w:r>
          </w:p>
          <w:p w14:paraId="7D8325C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 xml:space="preserve">审批文件名称及文号：《永春县人民政府关于永春县蓬壶镇工业园区控制性详细规划的批复》（永政地﹝2021﹞20号） </w:t>
            </w:r>
          </w:p>
          <w:p w14:paraId="78834CF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 xml:space="preserve">2、规划名称：《永春县蓬壶镇总体规划修编（2016-2030）》 </w:t>
            </w:r>
          </w:p>
          <w:p w14:paraId="6AD568C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审批机关：永春县人民政府</w:t>
            </w:r>
          </w:p>
        </w:tc>
      </w:tr>
      <w:tr w14:paraId="09543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508" w:type="dxa"/>
            <w:tcBorders>
              <w:left w:val="single" w:color="000000" w:sz="6" w:space="0"/>
            </w:tcBorders>
            <w:vAlign w:val="center"/>
          </w:tcPr>
          <w:p w14:paraId="679E61FC">
            <w:pPr>
              <w:spacing w:before="271" w:line="271"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8"/>
                <w:position w:val="4"/>
                <w:sz w:val="24"/>
                <w:szCs w:val="24"/>
                <w:highlight w:val="none"/>
              </w:rPr>
              <w:t>规划环境影响</w:t>
            </w:r>
          </w:p>
          <w:p w14:paraId="0EA68853">
            <w:pPr>
              <w:spacing w:before="1" w:line="226"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9"/>
                <w:sz w:val="24"/>
                <w:szCs w:val="24"/>
                <w:highlight w:val="none"/>
              </w:rPr>
              <w:t>评</w:t>
            </w:r>
            <w:r>
              <w:rPr>
                <w:rFonts w:hint="default" w:ascii="Times New Roman" w:hAnsi="Times New Roman" w:eastAsia="宋体" w:cs="Times New Roman"/>
                <w:spacing w:val="7"/>
                <w:sz w:val="24"/>
                <w:szCs w:val="24"/>
                <w:highlight w:val="none"/>
              </w:rPr>
              <w:t>价情况</w:t>
            </w:r>
          </w:p>
        </w:tc>
        <w:tc>
          <w:tcPr>
            <w:tcW w:w="7366" w:type="dxa"/>
            <w:gridSpan w:val="3"/>
            <w:tcBorders>
              <w:right w:val="single" w:color="000000" w:sz="6" w:space="0"/>
            </w:tcBorders>
            <w:vAlign w:val="center"/>
          </w:tcPr>
          <w:p w14:paraId="41EB0D66">
            <w:pPr>
              <w:jc w:val="center"/>
              <w:rPr>
                <w:rFonts w:hint="default"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无</w:t>
            </w:r>
          </w:p>
        </w:tc>
      </w:tr>
      <w:tr w14:paraId="0C645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508" w:type="dxa"/>
            <w:tcBorders>
              <w:left w:val="single" w:color="000000" w:sz="6" w:space="0"/>
            </w:tcBorders>
            <w:vAlign w:val="center"/>
          </w:tcPr>
          <w:p w14:paraId="134BB617">
            <w:pPr>
              <w:spacing w:line="240" w:lineRule="auto"/>
              <w:ind w:left="0" w:right="0" w:firstLine="0"/>
              <w:jc w:val="center"/>
              <w:rPr>
                <w:rFonts w:ascii="宋体" w:hAnsi="宋体" w:eastAsia="宋体" w:cs="宋体"/>
                <w:sz w:val="24"/>
                <w:szCs w:val="24"/>
                <w:highlight w:val="none"/>
              </w:rPr>
            </w:pPr>
            <w:r>
              <w:rPr>
                <w:rFonts w:ascii="宋体" w:hAnsi="宋体" w:eastAsia="宋体" w:cs="宋体"/>
                <w:spacing w:val="11"/>
                <w:sz w:val="24"/>
                <w:szCs w:val="24"/>
                <w:highlight w:val="none"/>
              </w:rPr>
              <w:t>规</w:t>
            </w:r>
            <w:r>
              <w:rPr>
                <w:rFonts w:ascii="宋体" w:hAnsi="宋体" w:eastAsia="宋体" w:cs="宋体"/>
                <w:spacing w:val="8"/>
                <w:sz w:val="24"/>
                <w:szCs w:val="24"/>
                <w:highlight w:val="none"/>
              </w:rPr>
              <w:t>划及规划环境</w:t>
            </w:r>
            <w:r>
              <w:rPr>
                <w:rFonts w:ascii="宋体" w:hAnsi="宋体" w:eastAsia="宋体" w:cs="宋体"/>
                <w:spacing w:val="9"/>
                <w:sz w:val="24"/>
                <w:szCs w:val="24"/>
                <w:highlight w:val="none"/>
              </w:rPr>
              <w:t>影响评价符合性分</w:t>
            </w:r>
            <w:r>
              <w:rPr>
                <w:rFonts w:ascii="宋体" w:hAnsi="宋体" w:eastAsia="宋体" w:cs="宋体"/>
                <w:spacing w:val="8"/>
                <w:sz w:val="24"/>
                <w:szCs w:val="24"/>
                <w:highlight w:val="none"/>
              </w:rPr>
              <w:t>析</w:t>
            </w:r>
          </w:p>
        </w:tc>
        <w:tc>
          <w:tcPr>
            <w:tcW w:w="7366" w:type="dxa"/>
            <w:gridSpan w:val="3"/>
            <w:tcBorders>
              <w:right w:val="single" w:color="000000" w:sz="6" w:space="0"/>
            </w:tcBorders>
            <w:vAlign w:val="center"/>
          </w:tcPr>
          <w:p w14:paraId="42B60E16">
            <w:pPr>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bidi="ar"/>
              </w:rPr>
              <w:t>无</w:t>
            </w:r>
          </w:p>
        </w:tc>
      </w:tr>
      <w:tr w14:paraId="54E15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508" w:type="dxa"/>
            <w:tcBorders>
              <w:left w:val="single" w:color="000000" w:sz="6" w:space="0"/>
            </w:tcBorders>
            <w:vAlign w:val="center"/>
          </w:tcPr>
          <w:p w14:paraId="41F2D10F">
            <w:pPr>
              <w:spacing w:before="65" w:line="228" w:lineRule="auto"/>
              <w:jc w:val="both"/>
              <w:rPr>
                <w:rFonts w:ascii="宋体" w:hAnsi="宋体" w:eastAsia="宋体" w:cs="宋体"/>
                <w:sz w:val="24"/>
                <w:szCs w:val="24"/>
                <w:highlight w:val="none"/>
              </w:rPr>
            </w:pPr>
            <w:r>
              <w:rPr>
                <w:rFonts w:ascii="宋体" w:hAnsi="宋体" w:eastAsia="宋体" w:cs="宋体"/>
                <w:spacing w:val="11"/>
                <w:sz w:val="24"/>
                <w:szCs w:val="24"/>
                <w:highlight w:val="none"/>
              </w:rPr>
              <w:t>其</w:t>
            </w:r>
            <w:r>
              <w:rPr>
                <w:rFonts w:ascii="宋体" w:hAnsi="宋体" w:eastAsia="宋体" w:cs="宋体"/>
                <w:spacing w:val="8"/>
                <w:sz w:val="24"/>
                <w:szCs w:val="24"/>
                <w:highlight w:val="none"/>
              </w:rPr>
              <w:t>他符合性分析</w:t>
            </w:r>
          </w:p>
        </w:tc>
        <w:tc>
          <w:tcPr>
            <w:tcW w:w="7366" w:type="dxa"/>
            <w:gridSpan w:val="3"/>
            <w:tcBorders>
              <w:right w:val="single" w:color="000000" w:sz="6" w:space="0"/>
            </w:tcBorders>
            <w:vAlign w:val="top"/>
          </w:tcPr>
          <w:p w14:paraId="4F4E46B8">
            <w:pPr>
              <w:keepNext w:val="0"/>
              <w:keepLines w:val="0"/>
              <w:widowControl/>
              <w:suppressLineNumbers w:val="0"/>
              <w:jc w:val="left"/>
              <w:rPr>
                <w:rFonts w:hint="default" w:ascii="Times New Roman" w:hAnsi="Times New Roman" w:eastAsia="宋体" w:cs="Times New Roman"/>
                <w:b/>
                <w:bCs/>
                <w:snapToGrid w:val="0"/>
                <w:color w:val="000000"/>
                <w:kern w:val="0"/>
                <w:sz w:val="28"/>
                <w:szCs w:val="28"/>
                <w:highlight w:val="none"/>
                <w:lang w:val="en-US" w:eastAsia="zh-CN" w:bidi="ar"/>
              </w:rPr>
            </w:pPr>
            <w:r>
              <w:rPr>
                <w:rFonts w:hint="default" w:ascii="Times New Roman" w:hAnsi="Times New Roman" w:eastAsia="宋体" w:cs="Times New Roman"/>
                <w:b/>
                <w:bCs/>
                <w:snapToGrid w:val="0"/>
                <w:color w:val="000000"/>
                <w:kern w:val="0"/>
                <w:sz w:val="28"/>
                <w:szCs w:val="28"/>
                <w:highlight w:val="none"/>
                <w:lang w:val="en-US" w:eastAsia="zh-CN" w:bidi="ar"/>
              </w:rPr>
              <w:t>1.2 产业政策符合性分析</w:t>
            </w:r>
          </w:p>
          <w:p w14:paraId="4AE0A75D">
            <w:pPr>
              <w:spacing w:line="360" w:lineRule="auto"/>
              <w:ind w:firstLine="480" w:firstLineChars="200"/>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（1）项目主要从事充气床</w:t>
            </w:r>
            <w:r>
              <w:rPr>
                <w:rFonts w:hint="eastAsia" w:ascii="Times New Roman" w:hAnsi="Times New Roman" w:eastAsia="宋体" w:cs="Times New Roman"/>
                <w:b w:val="0"/>
                <w:bCs w:val="0"/>
                <w:color w:val="000000"/>
                <w:kern w:val="0"/>
                <w:sz w:val="24"/>
                <w:szCs w:val="24"/>
                <w:highlight w:val="none"/>
                <w:lang w:val="en-US" w:eastAsia="zh-CN" w:bidi="ar"/>
              </w:rPr>
              <w:t>、露营垫、箱包</w:t>
            </w:r>
            <w:r>
              <w:rPr>
                <w:rFonts w:hint="default" w:ascii="Times New Roman" w:hAnsi="Times New Roman" w:eastAsia="宋体" w:cs="Times New Roman"/>
                <w:b w:val="0"/>
                <w:bCs w:val="0"/>
                <w:color w:val="000000"/>
                <w:kern w:val="0"/>
                <w:sz w:val="24"/>
                <w:szCs w:val="24"/>
                <w:highlight w:val="none"/>
                <w:lang w:val="en-US" w:eastAsia="zh-CN" w:bidi="ar"/>
              </w:rPr>
              <w:t>生产加工，根据《产业结构调整指导目录（2024年本）》，本项目相关的项目生产能力、生产设备、生产工艺和产品均不属于该目录中禁止、限制以及淘汰类项目，属于允许建设项目。因此，本项目的建设符合国家和地方的产业政策要求。</w:t>
            </w:r>
          </w:p>
          <w:p w14:paraId="1274F5DF">
            <w:pPr>
              <w:spacing w:line="360" w:lineRule="auto"/>
              <w:ind w:firstLine="480" w:firstLineChars="200"/>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（2）本项目位于福建省泉州市永春县</w:t>
            </w:r>
            <w:r>
              <w:rPr>
                <w:rFonts w:hint="eastAsia" w:ascii="Times New Roman" w:hAnsi="Times New Roman" w:eastAsia="宋体" w:cs="Times New Roman"/>
                <w:b w:val="0"/>
                <w:bCs w:val="0"/>
                <w:color w:val="000000"/>
                <w:kern w:val="0"/>
                <w:sz w:val="24"/>
                <w:szCs w:val="24"/>
                <w:highlight w:val="none"/>
                <w:lang w:val="en-US" w:eastAsia="zh-CN" w:bidi="ar"/>
              </w:rPr>
              <w:t>蓬壶镇</w:t>
            </w:r>
            <w:r>
              <w:rPr>
                <w:rFonts w:hint="default" w:ascii="Times New Roman" w:hAnsi="Times New Roman" w:eastAsia="宋体" w:cs="Times New Roman"/>
                <w:b w:val="0"/>
                <w:bCs w:val="0"/>
                <w:color w:val="000000"/>
                <w:kern w:val="0"/>
                <w:sz w:val="24"/>
                <w:szCs w:val="24"/>
                <w:highlight w:val="none"/>
                <w:lang w:val="en-US" w:eastAsia="zh-CN" w:bidi="ar"/>
              </w:rPr>
              <w:t>蓬壶工业园</w:t>
            </w:r>
            <w:r>
              <w:rPr>
                <w:rFonts w:hint="eastAsia" w:ascii="Times New Roman" w:hAnsi="Times New Roman" w:eastAsia="宋体" w:cs="Times New Roman"/>
                <w:b w:val="0"/>
                <w:bCs w:val="0"/>
                <w:color w:val="000000"/>
                <w:kern w:val="0"/>
                <w:sz w:val="24"/>
                <w:szCs w:val="24"/>
                <w:highlight w:val="none"/>
                <w:lang w:val="en-US" w:eastAsia="zh-CN" w:bidi="ar"/>
              </w:rPr>
              <w:t>29号</w:t>
            </w:r>
            <w:r>
              <w:rPr>
                <w:rFonts w:hint="default" w:ascii="Times New Roman" w:hAnsi="Times New Roman" w:eastAsia="宋体" w:cs="Times New Roman"/>
                <w:b w:val="0"/>
                <w:bCs w:val="0"/>
                <w:color w:val="000000"/>
                <w:kern w:val="0"/>
                <w:sz w:val="24"/>
                <w:szCs w:val="24"/>
                <w:highlight w:val="none"/>
                <w:lang w:val="en-US" w:eastAsia="zh-CN" w:bidi="ar"/>
              </w:rPr>
              <w:t>，不属于《限制用地项目目录（2012年本）</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禁止用地项目目录2012年本》中所列限制和禁止用地项目。</w:t>
            </w:r>
          </w:p>
          <w:p w14:paraId="37FD0F1A">
            <w:pPr>
              <w:spacing w:line="360" w:lineRule="auto"/>
              <w:ind w:firstLine="480" w:firstLineChars="200"/>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（3）</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本项目已于202</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年</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7</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月</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12</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日在永春县发展和改革局</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通过</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了备案</w:t>
            </w:r>
            <w:r>
              <w:rPr>
                <w:rFonts w:hint="default" w:ascii="Times New Roman" w:hAnsi="Times New Roman" w:eastAsia="宋体" w:cs="Times New Roman"/>
                <w:b w:val="0"/>
                <w:bCs w:val="0"/>
                <w:color w:val="000000"/>
                <w:kern w:val="0"/>
                <w:sz w:val="24"/>
                <w:szCs w:val="24"/>
                <w:highlight w:val="none"/>
                <w:lang w:val="en-US" w:eastAsia="zh-CN" w:bidi="ar"/>
              </w:rPr>
              <w:t>，备案编号为</w:t>
            </w:r>
            <w:r>
              <w:rPr>
                <w:rFonts w:hint="eastAsia" w:ascii="Times New Roman" w:hAnsi="Times New Roman" w:eastAsia="宋体" w:cs="Times New Roman"/>
                <w:sz w:val="24"/>
                <w:szCs w:val="24"/>
                <w:highlight w:val="none"/>
                <w:lang w:val="en-US" w:eastAsia="zh-CN"/>
              </w:rPr>
              <w:t>闽发改备〔2024〕C101218号</w:t>
            </w:r>
            <w:r>
              <w:rPr>
                <w:rFonts w:hint="default" w:ascii="Times New Roman" w:hAnsi="Times New Roman" w:eastAsia="宋体" w:cs="Times New Roman"/>
                <w:b w:val="0"/>
                <w:bCs w:val="0"/>
                <w:color w:val="000000"/>
                <w:kern w:val="0"/>
                <w:sz w:val="24"/>
                <w:szCs w:val="24"/>
                <w:highlight w:val="none"/>
                <w:lang w:val="en-US" w:eastAsia="zh-CN" w:bidi="ar"/>
              </w:rPr>
              <w:t>（详见附件</w:t>
            </w:r>
            <w:r>
              <w:rPr>
                <w:rFonts w:hint="eastAsia" w:ascii="Times New Roman" w:hAnsi="Times New Roman" w:eastAsia="宋体" w:cs="Times New Roman"/>
                <w:b w:val="0"/>
                <w:bCs w:val="0"/>
                <w:color w:val="000000"/>
                <w:kern w:val="0"/>
                <w:sz w:val="24"/>
                <w:szCs w:val="24"/>
                <w:highlight w:val="none"/>
                <w:lang w:val="en-US" w:eastAsia="zh-CN" w:bidi="ar"/>
              </w:rPr>
              <w:t>5</w:t>
            </w:r>
            <w:r>
              <w:rPr>
                <w:rFonts w:hint="default" w:ascii="Times New Roman" w:hAnsi="Times New Roman" w:eastAsia="宋体" w:cs="Times New Roman"/>
                <w:b w:val="0"/>
                <w:bCs w:val="0"/>
                <w:color w:val="000000"/>
                <w:kern w:val="0"/>
                <w:sz w:val="24"/>
                <w:szCs w:val="24"/>
                <w:highlight w:val="none"/>
                <w:lang w:val="en-US" w:eastAsia="zh-CN" w:bidi="ar"/>
              </w:rPr>
              <w:t>）。</w:t>
            </w:r>
          </w:p>
          <w:p w14:paraId="566A32AD">
            <w:pPr>
              <w:spacing w:line="360" w:lineRule="auto"/>
              <w:ind w:firstLine="480" w:firstLineChars="200"/>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（4）本项目从事充气床</w:t>
            </w:r>
            <w:r>
              <w:rPr>
                <w:rFonts w:hint="eastAsia" w:ascii="Times New Roman" w:hAnsi="Times New Roman" w:eastAsia="宋体" w:cs="Times New Roman"/>
                <w:b w:val="0"/>
                <w:bCs w:val="0"/>
                <w:color w:val="000000"/>
                <w:kern w:val="0"/>
                <w:sz w:val="24"/>
                <w:szCs w:val="24"/>
                <w:highlight w:val="none"/>
                <w:lang w:val="en-US" w:eastAsia="zh-CN" w:bidi="ar"/>
              </w:rPr>
              <w:t>、露营垫、箱包</w:t>
            </w:r>
            <w:r>
              <w:rPr>
                <w:rFonts w:hint="default" w:ascii="Times New Roman" w:hAnsi="Times New Roman" w:eastAsia="宋体" w:cs="Times New Roman"/>
                <w:b w:val="0"/>
                <w:bCs w:val="0"/>
                <w:color w:val="000000"/>
                <w:kern w:val="0"/>
                <w:sz w:val="24"/>
                <w:szCs w:val="24"/>
                <w:highlight w:val="none"/>
                <w:lang w:val="en-US" w:eastAsia="zh-CN" w:bidi="ar"/>
              </w:rPr>
              <w:t>加工，对照《国家发展改革委商务部关于印发</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市场准入负面清单（2022年版）</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的通知（发改体改规〔2022〕397号），本项目不属于市场禁止准入类。</w:t>
            </w:r>
          </w:p>
          <w:p w14:paraId="6F44B7A2">
            <w:pPr>
              <w:keepNext w:val="0"/>
              <w:keepLines w:val="0"/>
              <w:widowControl/>
              <w:suppressLineNumbers w:val="0"/>
              <w:jc w:val="left"/>
              <w:rPr>
                <w:rFonts w:hint="default" w:ascii="Times New Roman" w:hAnsi="Times New Roman" w:eastAsia="宋体" w:cs="Times New Roman"/>
                <w:b/>
                <w:bCs/>
                <w:snapToGrid w:val="0"/>
                <w:color w:val="000000"/>
                <w:kern w:val="0"/>
                <w:sz w:val="28"/>
                <w:szCs w:val="28"/>
                <w:highlight w:val="none"/>
                <w:lang w:val="en-US" w:eastAsia="zh-CN" w:bidi="ar"/>
              </w:rPr>
            </w:pPr>
            <w:r>
              <w:rPr>
                <w:rFonts w:hint="default" w:ascii="Times New Roman" w:hAnsi="Times New Roman" w:eastAsia="宋体" w:cs="Times New Roman"/>
                <w:b/>
                <w:bCs/>
                <w:snapToGrid w:val="0"/>
                <w:color w:val="000000"/>
                <w:kern w:val="0"/>
                <w:sz w:val="28"/>
                <w:szCs w:val="28"/>
                <w:highlight w:val="none"/>
                <w:lang w:val="en-US" w:eastAsia="zh-CN" w:bidi="ar"/>
              </w:rPr>
              <w:t>1.3</w:t>
            </w:r>
            <w:r>
              <w:rPr>
                <w:rFonts w:hint="eastAsia" w:ascii="Times New Roman" w:hAnsi="Times New Roman" w:eastAsia="宋体" w:cs="Times New Roman"/>
                <w:b/>
                <w:bCs/>
                <w:snapToGrid w:val="0"/>
                <w:color w:val="000000"/>
                <w:kern w:val="0"/>
                <w:sz w:val="28"/>
                <w:szCs w:val="28"/>
                <w:highlight w:val="none"/>
                <w:lang w:val="en-US" w:eastAsia="zh-CN" w:bidi="ar"/>
              </w:rPr>
              <w:t xml:space="preserve"> </w:t>
            </w:r>
            <w:r>
              <w:rPr>
                <w:rFonts w:hint="default" w:ascii="Times New Roman" w:hAnsi="Times New Roman" w:eastAsia="宋体" w:cs="Times New Roman"/>
                <w:b/>
                <w:bCs/>
                <w:snapToGrid w:val="0"/>
                <w:color w:val="000000"/>
                <w:kern w:val="0"/>
                <w:sz w:val="28"/>
                <w:szCs w:val="28"/>
                <w:highlight w:val="none"/>
                <w:lang w:val="en-US" w:eastAsia="zh-CN" w:bidi="ar"/>
              </w:rPr>
              <w:t>生态环境分区管控符合性分析</w:t>
            </w:r>
          </w:p>
          <w:p w14:paraId="27952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1.3.1 生态红线相符性分析</w:t>
            </w:r>
          </w:p>
          <w:p w14:paraId="575312C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对照《福建省生态保护红线划定方案》及《泉州市生态环境局关于发布泉州市2023年生态环境分区管控动态更新成果的通知》</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泉环保〔2024〕64号</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，本项目位于福建省泉州市</w:t>
            </w:r>
            <w:r>
              <w:rPr>
                <w:rFonts w:hint="eastAsia" w:ascii="Times New Roman" w:hAnsi="Times New Roman" w:eastAsia="宋体" w:cs="Times New Roman"/>
                <w:b w:val="0"/>
                <w:bCs w:val="0"/>
                <w:color w:val="000000"/>
                <w:kern w:val="0"/>
                <w:sz w:val="24"/>
                <w:szCs w:val="24"/>
                <w:highlight w:val="none"/>
                <w:lang w:val="en-US" w:eastAsia="zh-CN" w:bidi="ar"/>
              </w:rPr>
              <w:t>永春县</w:t>
            </w:r>
            <w:r>
              <w:rPr>
                <w:rFonts w:hint="default" w:ascii="Times New Roman" w:hAnsi="Times New Roman" w:eastAsia="宋体" w:cs="Times New Roman"/>
                <w:b w:val="0"/>
                <w:bCs w:val="0"/>
                <w:color w:val="000000"/>
                <w:kern w:val="0"/>
                <w:sz w:val="24"/>
                <w:szCs w:val="24"/>
                <w:highlight w:val="none"/>
                <w:lang w:val="en-US" w:eastAsia="zh-CN" w:bidi="ar"/>
              </w:rPr>
              <w:t>蓬壶镇工业园，不位于国家公园、自然保护区、森林公园的生态保育区和核心景观区、风景名胜区的核心景区、地质公园的地质遗迹保护区、世界自然遗产的核心区和缓冲区、湿地公园的湿地保育区和恢复重建区、饮用水水源地的一级保护区、水产种质资源保护区的核心区和其他需要特别保护等法律法规禁止开发建设的区域。因此，本项目生产建设符合生态红线控制要求。</w:t>
            </w:r>
          </w:p>
          <w:p w14:paraId="0BB26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1.3.2 与环境质量底线的相符性分析</w:t>
            </w:r>
          </w:p>
          <w:p w14:paraId="539602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项目所在区域的环境空气质量与《环境空气质量标准》（</w:t>
            </w:r>
            <w:r>
              <w:rPr>
                <w:rFonts w:hint="eastAsia" w:ascii="Times New Roman" w:hAnsi="Times New Roman" w:eastAsia="宋体" w:cs="Times New Roman"/>
                <w:b w:val="0"/>
                <w:bCs w:val="0"/>
                <w:color w:val="000000"/>
                <w:kern w:val="0"/>
                <w:sz w:val="24"/>
                <w:szCs w:val="24"/>
                <w:highlight w:val="none"/>
                <w:lang w:val="en-US" w:eastAsia="zh-CN" w:bidi="ar"/>
              </w:rPr>
              <w:t>GB 3095-2012</w:t>
            </w:r>
            <w:r>
              <w:rPr>
                <w:rFonts w:hint="default" w:ascii="Times New Roman" w:hAnsi="Times New Roman" w:eastAsia="宋体" w:cs="Times New Roman"/>
                <w:b w:val="0"/>
                <w:bCs w:val="0"/>
                <w:color w:val="000000"/>
                <w:kern w:val="0"/>
                <w:sz w:val="24"/>
                <w:szCs w:val="24"/>
                <w:highlight w:val="none"/>
                <w:lang w:val="en-US" w:eastAsia="zh-CN" w:bidi="ar"/>
              </w:rPr>
              <w:t>）及其2018年修改单中二级标准相符合，该地地表水为桃溪，其水质满足《地表水环境质量标准》（</w:t>
            </w:r>
            <w:r>
              <w:rPr>
                <w:rFonts w:hint="eastAsia" w:ascii="Times New Roman" w:hAnsi="Times New Roman" w:eastAsia="宋体" w:cs="Times New Roman"/>
                <w:b w:val="0"/>
                <w:bCs w:val="0"/>
                <w:color w:val="000000"/>
                <w:kern w:val="0"/>
                <w:sz w:val="24"/>
                <w:szCs w:val="24"/>
                <w:highlight w:val="none"/>
                <w:lang w:val="en-US" w:eastAsia="zh-CN" w:bidi="ar"/>
              </w:rPr>
              <w:t>GB 3838-2002</w:t>
            </w:r>
            <w:r>
              <w:rPr>
                <w:rFonts w:hint="default" w:ascii="Times New Roman" w:hAnsi="Times New Roman" w:eastAsia="宋体" w:cs="Times New Roman"/>
                <w:b w:val="0"/>
                <w:bCs w:val="0"/>
                <w:color w:val="000000"/>
                <w:kern w:val="0"/>
                <w:sz w:val="24"/>
                <w:szCs w:val="24"/>
                <w:highlight w:val="none"/>
                <w:lang w:val="en-US" w:eastAsia="zh-CN" w:bidi="ar"/>
              </w:rPr>
              <w:t>）Ⅲ类标准，声环境质量符合《声环境质量标准》（</w:t>
            </w:r>
            <w:r>
              <w:rPr>
                <w:rFonts w:hint="eastAsia" w:ascii="Times New Roman" w:hAnsi="Times New Roman" w:eastAsia="宋体" w:cs="Times New Roman"/>
                <w:b w:val="0"/>
                <w:bCs w:val="0"/>
                <w:color w:val="000000"/>
                <w:kern w:val="0"/>
                <w:sz w:val="24"/>
                <w:szCs w:val="24"/>
                <w:highlight w:val="none"/>
                <w:lang w:val="en-US" w:eastAsia="zh-CN" w:bidi="ar"/>
              </w:rPr>
              <w:t>GB 3096-2008</w:t>
            </w:r>
            <w:r>
              <w:rPr>
                <w:rFonts w:hint="default" w:ascii="Times New Roman" w:hAnsi="Times New Roman" w:eastAsia="宋体" w:cs="Times New Roman"/>
                <w:b w:val="0"/>
                <w:bCs w:val="0"/>
                <w:color w:val="000000"/>
                <w:kern w:val="0"/>
                <w:sz w:val="24"/>
                <w:szCs w:val="24"/>
                <w:highlight w:val="none"/>
                <w:lang w:val="en-US" w:eastAsia="zh-CN" w:bidi="ar"/>
              </w:rPr>
              <w:t>）3类标准。</w:t>
            </w:r>
          </w:p>
          <w:p w14:paraId="41AE1E4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本项目产生的废水、废气、噪声经治理之后对环境污染较小，固废可做到无害化处置</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生活污水</w:t>
            </w:r>
            <w:r>
              <w:rPr>
                <w:rFonts w:hint="eastAsia" w:ascii="Times New Roman" w:hAnsi="Times New Roman" w:eastAsia="宋体" w:cs="Times New Roman"/>
                <w:b w:val="0"/>
                <w:bCs w:val="0"/>
                <w:color w:val="000000"/>
                <w:kern w:val="0"/>
                <w:sz w:val="24"/>
                <w:szCs w:val="24"/>
                <w:highlight w:val="none"/>
                <w:lang w:val="en-US" w:eastAsia="zh-CN" w:bidi="ar"/>
              </w:rPr>
              <w:t>依托出租方化粪池</w:t>
            </w:r>
            <w:r>
              <w:rPr>
                <w:rFonts w:hint="default" w:ascii="Times New Roman" w:hAnsi="Times New Roman" w:eastAsia="宋体" w:cs="Times New Roman"/>
                <w:b w:val="0"/>
                <w:bCs w:val="0"/>
                <w:color w:val="000000"/>
                <w:kern w:val="0"/>
                <w:sz w:val="24"/>
                <w:szCs w:val="24"/>
                <w:highlight w:val="none"/>
                <w:lang w:val="en-US" w:eastAsia="zh-CN" w:bidi="ar"/>
              </w:rPr>
              <w:t>处理后</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通过市政管网</w:t>
            </w:r>
            <w:r>
              <w:rPr>
                <w:rFonts w:hint="eastAsia" w:ascii="Times New Roman" w:hAnsi="Times New Roman" w:eastAsia="宋体" w:cs="Times New Roman"/>
                <w:b w:val="0"/>
                <w:bCs w:val="0"/>
                <w:color w:val="000000"/>
                <w:kern w:val="0"/>
                <w:sz w:val="24"/>
                <w:szCs w:val="24"/>
                <w:highlight w:val="none"/>
                <w:lang w:val="en-US" w:eastAsia="zh-CN" w:bidi="ar"/>
              </w:rPr>
              <w:t>排</w:t>
            </w:r>
            <w:r>
              <w:rPr>
                <w:rFonts w:hint="default" w:ascii="Times New Roman" w:hAnsi="Times New Roman" w:eastAsia="宋体" w:cs="Times New Roman"/>
                <w:b w:val="0"/>
                <w:bCs w:val="0"/>
                <w:color w:val="000000"/>
                <w:kern w:val="0"/>
                <w:sz w:val="24"/>
                <w:szCs w:val="24"/>
                <w:highlight w:val="none"/>
                <w:lang w:val="en-US" w:eastAsia="zh-CN" w:bidi="ar"/>
              </w:rPr>
              <w:t>入永春县蓬壶镇污水处理厂集中处理</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达标后排放。采取本环评提出的相关防治措施后，本项目排放的污染物不会对区域环境质量底线造成冲击。</w:t>
            </w:r>
          </w:p>
          <w:p w14:paraId="160AD9F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1.3.3 资源利用上限对照分析</w:t>
            </w:r>
          </w:p>
          <w:p w14:paraId="08D7F4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土地资源：项目租赁泉州坤鑫腾智能科技有限公司</w:t>
            </w:r>
            <w:r>
              <w:rPr>
                <w:rFonts w:hint="eastAsia" w:ascii="Times New Roman" w:hAnsi="Times New Roman" w:eastAsia="宋体" w:cs="Times New Roman"/>
                <w:b w:val="0"/>
                <w:bCs w:val="0"/>
                <w:color w:val="000000"/>
                <w:kern w:val="0"/>
                <w:sz w:val="24"/>
                <w:szCs w:val="24"/>
                <w:highlight w:val="none"/>
                <w:lang w:val="en-US" w:eastAsia="zh-CN" w:bidi="ar"/>
              </w:rPr>
              <w:t>以及福建启亿科技有限公司已</w:t>
            </w:r>
            <w:r>
              <w:rPr>
                <w:rFonts w:hint="default" w:ascii="Times New Roman" w:hAnsi="Times New Roman" w:eastAsia="宋体" w:cs="Times New Roman"/>
                <w:b w:val="0"/>
                <w:bCs w:val="0"/>
                <w:color w:val="000000"/>
                <w:kern w:val="0"/>
                <w:sz w:val="24"/>
                <w:szCs w:val="24"/>
                <w:highlight w:val="none"/>
                <w:lang w:val="en-US" w:eastAsia="zh-CN" w:bidi="ar"/>
              </w:rPr>
              <w:t>建成的现有厂房，不新增用地。</w:t>
            </w:r>
          </w:p>
          <w:p w14:paraId="1057A2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水资源：本项目用水取自自来水，由区域供水系统提供，项目生活污水</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排入化粪池处理达标后</w:t>
            </w:r>
            <w:r>
              <w:rPr>
                <w:rFonts w:hint="eastAsia"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，通过</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市政</w:t>
            </w:r>
            <w:r>
              <w:rPr>
                <w:rFonts w:hint="default" w:ascii="Times New Roman" w:hAnsi="Times New Roman" w:eastAsia="宋体" w:cs="Times New Roman"/>
                <w:b w:val="0"/>
                <w:bCs w:val="0"/>
                <w:color w:val="000000"/>
                <w:kern w:val="0"/>
                <w:sz w:val="24"/>
                <w:szCs w:val="24"/>
                <w:highlight w:val="none"/>
                <w:lang w:val="en-US" w:eastAsia="zh-CN" w:bidi="ar"/>
              </w:rPr>
              <w:t>污水管网排入永春县蓬壶镇污水处理厂进行深度处理。</w:t>
            </w:r>
          </w:p>
          <w:p w14:paraId="284DE6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能源：项目设备主要利用电能，电能由市政供应系统供应。</w:t>
            </w:r>
          </w:p>
          <w:p w14:paraId="08CEED3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综上所述，项目建设过程中所利用的资源主要为水、电，均为清洁能源，本项目建成运行后通过环境管理、设备选型、原辅材料的选用管理、优化生产工艺、降低能耗、减少污染物排放等多方面提高项目的清洁生产水平，确保企业清洁生产达到国内先进水平。项目运营期水、原料等资源利用不会突破区域的资源利用上限。</w:t>
            </w:r>
          </w:p>
          <w:p w14:paraId="3B37E39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1.3.4 环境准入负面清单对照分析</w:t>
            </w:r>
          </w:p>
          <w:p w14:paraId="41C3F57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（1）经查《市场准入负面清单（2022年版）》，项目不在其禁止准入类和</w:t>
            </w:r>
            <w:r>
              <w:rPr>
                <w:rFonts w:hint="eastAsia" w:ascii="Times New Roman" w:hAnsi="Times New Roman" w:eastAsia="宋体" w:cs="Times New Roman"/>
                <w:b w:val="0"/>
                <w:bCs w:val="0"/>
                <w:color w:val="000000"/>
                <w:kern w:val="0"/>
                <w:sz w:val="24"/>
                <w:szCs w:val="24"/>
                <w:highlight w:val="none"/>
                <w:lang w:val="en-US" w:eastAsia="zh-CN" w:bidi="ar"/>
              </w:rPr>
              <w:t>限制</w:t>
            </w:r>
            <w:r>
              <w:rPr>
                <w:rFonts w:hint="default" w:ascii="Times New Roman" w:hAnsi="Times New Roman" w:eastAsia="宋体" w:cs="Times New Roman"/>
                <w:b w:val="0"/>
                <w:bCs w:val="0"/>
                <w:color w:val="000000"/>
                <w:kern w:val="0"/>
                <w:sz w:val="24"/>
                <w:szCs w:val="24"/>
                <w:highlight w:val="none"/>
                <w:lang w:val="en-US" w:eastAsia="zh-CN" w:bidi="ar"/>
              </w:rPr>
              <w:t>准入类中。</w:t>
            </w:r>
          </w:p>
          <w:p w14:paraId="3889932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2）根据《福建省发展和改革委员会关于印发〈福建省第一批国家重点生态功能区县（市）产业准入负面清单（试行）〉的通知》（闽发改规划〔2018〕177号），并与永春县国家重点生态功能区产业准入负面清单进行对比，本项目所属“C2319 包装装潢及其他印刷、C2929 塑料零件及其他塑料制品制造”均不在负面清单的限制准入行业范围内，项目与永春县国家重点生态功能区产业准入负面清单符合性分析详见下表1.3-1。</w:t>
            </w:r>
          </w:p>
          <w:p w14:paraId="33354D68">
            <w:pPr>
              <w:spacing w:before="120" w:beforeLines="5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表1</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cs="Times New Roman"/>
                <w:b/>
                <w:bCs/>
                <w:color w:val="auto"/>
                <w:sz w:val="24"/>
                <w:highlight w:val="none"/>
              </w:rPr>
              <w:t xml:space="preserve"> 与永春县国家重点生态功能区产业</w:t>
            </w:r>
            <w:r>
              <w:rPr>
                <w:rFonts w:hint="eastAsia" w:ascii="Times New Roman" w:hAnsi="Times New Roman" w:eastAsia="宋体" w:cs="Times New Roman"/>
                <w:b/>
                <w:bCs/>
                <w:color w:val="auto"/>
                <w:sz w:val="24"/>
                <w:highlight w:val="none"/>
                <w:lang w:eastAsia="zh-CN"/>
              </w:rPr>
              <w:t>准入</w:t>
            </w:r>
            <w:r>
              <w:rPr>
                <w:rFonts w:hint="default" w:ascii="Times New Roman" w:hAnsi="Times New Roman" w:cs="Times New Roman"/>
                <w:b/>
                <w:bCs/>
                <w:color w:val="auto"/>
                <w:sz w:val="24"/>
                <w:highlight w:val="none"/>
              </w:rPr>
              <w:t>负面清单符合性分析</w:t>
            </w:r>
          </w:p>
          <w:tbl>
            <w:tblPr>
              <w:tblStyle w:val="18"/>
              <w:tblW w:w="73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66"/>
              <w:gridCol w:w="3468"/>
              <w:gridCol w:w="1455"/>
              <w:gridCol w:w="795"/>
            </w:tblGrid>
            <w:tr w14:paraId="68C66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79" w:type="dxa"/>
                  <w:vAlign w:val="center"/>
                </w:tcPr>
                <w:p w14:paraId="57D3DCE7">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门类</w:t>
                  </w:r>
                </w:p>
              </w:tc>
              <w:tc>
                <w:tcPr>
                  <w:tcW w:w="866" w:type="dxa"/>
                  <w:vAlign w:val="center"/>
                </w:tcPr>
                <w:p w14:paraId="16F40344">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3468" w:type="dxa"/>
                  <w:vAlign w:val="center"/>
                </w:tcPr>
                <w:p w14:paraId="7106B268">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管控措施及要求</w:t>
                  </w:r>
                </w:p>
              </w:tc>
              <w:tc>
                <w:tcPr>
                  <w:tcW w:w="1455" w:type="dxa"/>
                  <w:vAlign w:val="center"/>
                </w:tcPr>
                <w:p w14:paraId="3B948823">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项目情况</w:t>
                  </w:r>
                </w:p>
              </w:tc>
              <w:tc>
                <w:tcPr>
                  <w:tcW w:w="795" w:type="dxa"/>
                  <w:vAlign w:val="center"/>
                </w:tcPr>
                <w:p w14:paraId="1EEBD1D1">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r>
                    <w:rPr>
                      <w:rFonts w:hint="eastAsia" w:ascii="Times New Roman" w:hAnsi="Times New Roman" w:eastAsia="宋体" w:cs="Times New Roman"/>
                      <w:color w:val="auto"/>
                      <w:sz w:val="21"/>
                      <w:szCs w:val="21"/>
                      <w:highlight w:val="none"/>
                      <w:lang w:val="en-US" w:eastAsia="zh-CN"/>
                    </w:rPr>
                    <w:t>情况</w:t>
                  </w:r>
                </w:p>
              </w:tc>
            </w:tr>
            <w:tr w14:paraId="277C1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363" w:type="dxa"/>
                  <w:gridSpan w:val="5"/>
                  <w:vAlign w:val="center"/>
                </w:tcPr>
                <w:p w14:paraId="37976806">
                  <w:pPr>
                    <w:keepNext/>
                    <w:keepLines w:val="0"/>
                    <w:pageBreakBefore w:val="0"/>
                    <w:widowControl w:val="0"/>
                    <w:kinsoku w:val="0"/>
                    <w:wordWrap/>
                    <w:overflowPunct/>
                    <w:topLinePunct w:val="0"/>
                    <w:autoSpaceDE w:val="0"/>
                    <w:autoSpaceDN w:val="0"/>
                    <w:bidi w:val="0"/>
                    <w:adjustRightInd w:val="0"/>
                    <w:snapToGrid w:val="0"/>
                    <w:spacing w:line="3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限制类</w:t>
                  </w:r>
                </w:p>
              </w:tc>
            </w:tr>
            <w:tr w14:paraId="7C6D6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3" w:hRule="atLeast"/>
              </w:trPr>
              <w:tc>
                <w:tcPr>
                  <w:tcW w:w="779" w:type="dxa"/>
                  <w:vAlign w:val="center"/>
                </w:tcPr>
                <w:p w14:paraId="4BA3762D">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C制造业</w:t>
                  </w:r>
                </w:p>
              </w:tc>
              <w:tc>
                <w:tcPr>
                  <w:tcW w:w="866" w:type="dxa"/>
                  <w:vAlign w:val="center"/>
                </w:tcPr>
                <w:p w14:paraId="7BD98067">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shd w:val="clear" w:color="auto" w:fill="FFFFFF"/>
                    </w:rPr>
                    <w:t>2</w:t>
                  </w:r>
                  <w:r>
                    <w:rPr>
                      <w:rFonts w:hint="eastAsia" w:ascii="Times New Roman" w:hAnsi="Times New Roman" w:eastAsia="宋体" w:cs="Times New Roman"/>
                      <w:color w:val="auto"/>
                      <w:sz w:val="21"/>
                      <w:szCs w:val="21"/>
                      <w:highlight w:val="none"/>
                      <w:shd w:val="clear" w:color="auto" w:fill="FFFFFF"/>
                      <w:lang w:val="en-US" w:eastAsia="zh-CN"/>
                    </w:rPr>
                    <w:t>921塑料薄膜制造</w:t>
                  </w:r>
                </w:p>
              </w:tc>
              <w:tc>
                <w:tcPr>
                  <w:tcW w:w="3468" w:type="dxa"/>
                  <w:vAlign w:val="center"/>
                </w:tcPr>
                <w:p w14:paraId="5EC41A52">
                  <w:pPr>
                    <w:keepNext/>
                    <w:keepLines w:val="0"/>
                    <w:pageBreakBefore w:val="0"/>
                    <w:widowControl w:val="0"/>
                    <w:kinsoku w:val="0"/>
                    <w:wordWrap/>
                    <w:overflowPunct/>
                    <w:topLinePunct w:val="0"/>
                    <w:autoSpaceDE w:val="0"/>
                    <w:autoSpaceDN w:val="0"/>
                    <w:bidi w:val="0"/>
                    <w:adjustRightInd w:val="0"/>
                    <w:snapToGrid w:val="0"/>
                    <w:spacing w:line="340" w:lineRule="exact"/>
                    <w:textAlignment w:val="baseline"/>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1.新建项目仅限于布局在县城工业园区和蓬壶工业园。现有企业应在2020年12月31日前进入县城工业园区、蓬壶工业园。</w:t>
                  </w:r>
                </w:p>
                <w:p w14:paraId="6D11710D">
                  <w:pPr>
                    <w:keepNext/>
                    <w:keepLines w:val="0"/>
                    <w:pageBreakBefore w:val="0"/>
                    <w:widowControl w:val="0"/>
                    <w:kinsoku w:val="0"/>
                    <w:wordWrap/>
                    <w:overflowPunct/>
                    <w:topLinePunct w:val="0"/>
                    <w:autoSpaceDE w:val="0"/>
                    <w:autoSpaceDN w:val="0"/>
                    <w:bidi w:val="0"/>
                    <w:adjustRightInd w:val="0"/>
                    <w:snapToGrid w:val="0"/>
                    <w:spacing w:line="340" w:lineRule="exact"/>
                    <w:textAlignment w:val="baseline"/>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2.新建项目生产的超薄型塑料袋厚度不得低于0.015毫米。</w:t>
                  </w:r>
                </w:p>
                <w:p w14:paraId="4F06504B">
                  <w:pPr>
                    <w:keepNext/>
                    <w:keepLines w:val="0"/>
                    <w:pageBreakBefore w:val="0"/>
                    <w:widowControl w:val="0"/>
                    <w:kinsoku w:val="0"/>
                    <w:wordWrap/>
                    <w:overflowPunct/>
                    <w:topLinePunct w:val="0"/>
                    <w:autoSpaceDE w:val="0"/>
                    <w:autoSpaceDN w:val="0"/>
                    <w:bidi w:val="0"/>
                    <w:adjustRightInd w:val="0"/>
                    <w:snapToGrid w:val="0"/>
                    <w:spacing w:line="3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3.新建项目清洁生产水平不得低于国内先进清洁生产水平，严格执行行业污染物排放限值规定。</w:t>
                  </w:r>
                </w:p>
              </w:tc>
              <w:tc>
                <w:tcPr>
                  <w:tcW w:w="1455" w:type="dxa"/>
                  <w:vAlign w:val="center"/>
                </w:tcPr>
                <w:p w14:paraId="07C45F58">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本项目</w:t>
                  </w:r>
                  <w:r>
                    <w:rPr>
                      <w:rFonts w:hint="eastAsia" w:ascii="Times New Roman" w:hAnsi="Times New Roman" w:cs="Times New Roman"/>
                      <w:color w:val="auto"/>
                      <w:sz w:val="21"/>
                      <w:szCs w:val="21"/>
                      <w:highlight w:val="none"/>
                      <w:shd w:val="clear" w:color="auto" w:fill="FFFFFF"/>
                      <w:lang w:val="en-US" w:eastAsia="zh-CN"/>
                    </w:rPr>
                    <w:t>布局于蓬壶工业园，且项目</w:t>
                  </w:r>
                  <w:r>
                    <w:rPr>
                      <w:rFonts w:hint="default" w:ascii="Times New Roman" w:hAnsi="Times New Roman" w:cs="Times New Roman"/>
                      <w:color w:val="auto"/>
                      <w:sz w:val="21"/>
                      <w:szCs w:val="21"/>
                      <w:highlight w:val="none"/>
                      <w:shd w:val="clear" w:color="auto" w:fill="FFFFFF"/>
                    </w:rPr>
                    <w:t>不</w:t>
                  </w:r>
                  <w:r>
                    <w:rPr>
                      <w:rFonts w:hint="eastAsia" w:ascii="Times New Roman" w:hAnsi="Times New Roman" w:cs="Times New Roman"/>
                      <w:color w:val="auto"/>
                      <w:sz w:val="21"/>
                      <w:szCs w:val="21"/>
                      <w:highlight w:val="none"/>
                      <w:shd w:val="clear" w:color="auto" w:fill="FFFFFF"/>
                      <w:lang w:val="en-US" w:eastAsia="zh-CN"/>
                    </w:rPr>
                    <w:t>生产塑料薄膜</w:t>
                  </w:r>
                  <w:r>
                    <w:rPr>
                      <w:rFonts w:hint="default" w:ascii="Times New Roman" w:hAnsi="Times New Roman" w:cs="Times New Roman"/>
                      <w:color w:val="auto"/>
                      <w:sz w:val="21"/>
                      <w:szCs w:val="21"/>
                      <w:highlight w:val="none"/>
                      <w:shd w:val="clear" w:color="auto" w:fill="FFFFFF"/>
                    </w:rPr>
                    <w:t>。</w:t>
                  </w:r>
                </w:p>
              </w:tc>
              <w:tc>
                <w:tcPr>
                  <w:tcW w:w="795" w:type="dxa"/>
                  <w:vAlign w:val="center"/>
                </w:tcPr>
                <w:p w14:paraId="6577A9E5">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14:paraId="30988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363" w:type="dxa"/>
                  <w:gridSpan w:val="5"/>
                  <w:vAlign w:val="center"/>
                </w:tcPr>
                <w:p w14:paraId="4ECB7E2A">
                  <w:pPr>
                    <w:keepNext/>
                    <w:keepLines w:val="0"/>
                    <w:pageBreakBefore w:val="0"/>
                    <w:widowControl w:val="0"/>
                    <w:kinsoku w:val="0"/>
                    <w:wordWrap/>
                    <w:overflowPunct/>
                    <w:topLinePunct w:val="0"/>
                    <w:autoSpaceDE w:val="0"/>
                    <w:autoSpaceDN w:val="0"/>
                    <w:bidi w:val="0"/>
                    <w:adjustRightInd w:val="0"/>
                    <w:snapToGrid w:val="0"/>
                    <w:spacing w:line="340" w:lineRule="exac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禁止类</w:t>
                  </w:r>
                </w:p>
              </w:tc>
            </w:tr>
            <w:tr w14:paraId="1CAD4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79" w:type="dxa"/>
                  <w:vAlign w:val="center"/>
                </w:tcPr>
                <w:p w14:paraId="25FDBDF5">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66" w:type="dxa"/>
                  <w:vAlign w:val="center"/>
                </w:tcPr>
                <w:p w14:paraId="2C0E8D30">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468" w:type="dxa"/>
                  <w:vAlign w:val="center"/>
                </w:tcPr>
                <w:p w14:paraId="55D5004C">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455" w:type="dxa"/>
                  <w:vAlign w:val="center"/>
                </w:tcPr>
                <w:p w14:paraId="6C897BE7">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95" w:type="dxa"/>
                  <w:vAlign w:val="center"/>
                </w:tcPr>
                <w:p w14:paraId="2F823E30">
                  <w:pPr>
                    <w:keepNext/>
                    <w:keepLines w:val="0"/>
                    <w:pageBreakBefore w:val="0"/>
                    <w:widowControl w:val="0"/>
                    <w:kinsoku w:val="0"/>
                    <w:wordWrap/>
                    <w:overflowPunct/>
                    <w:topLinePunct w:val="0"/>
                    <w:autoSpaceDE w:val="0"/>
                    <w:autoSpaceDN w:val="0"/>
                    <w:bidi w:val="0"/>
                    <w:adjustRightInd w:val="0"/>
                    <w:snapToGrid w:val="0"/>
                    <w:spacing w:line="340" w:lineRule="exact"/>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14:paraId="67F7E899">
            <w:pPr>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由表1.3-1可知，本项目不在永春县国家重点生态功能区产业准入负面清单。</w:t>
            </w:r>
          </w:p>
          <w:p w14:paraId="6C5E194F">
            <w:pPr>
              <w:spacing w:line="360" w:lineRule="auto"/>
              <w:ind w:firstLine="480" w:firstLineChars="200"/>
              <w:rPr>
                <w:rFonts w:hint="default" w:ascii="Times New Roman" w:hAnsi="Times New Roman" w:cs="Times New Roman"/>
                <w:highlight w:val="none"/>
              </w:rPr>
            </w:pPr>
            <w:r>
              <w:rPr>
                <w:rFonts w:hint="default" w:ascii="Times New Roman" w:hAnsi="Times New Roman" w:eastAsia="宋体" w:cs="Times New Roman"/>
                <w:b w:val="0"/>
                <w:bCs w:val="0"/>
                <w:color w:val="000000"/>
                <w:kern w:val="0"/>
                <w:sz w:val="24"/>
                <w:szCs w:val="24"/>
                <w:highlight w:val="none"/>
                <w:lang w:val="en-US" w:eastAsia="zh-CN" w:bidi="ar"/>
              </w:rPr>
              <w:t>（</w:t>
            </w:r>
            <w:r>
              <w:rPr>
                <w:rFonts w:hint="eastAsia" w:ascii="Times New Roman" w:hAnsi="Times New Roman" w:eastAsia="宋体" w:cs="Times New Roman"/>
                <w:b w:val="0"/>
                <w:bCs w:val="0"/>
                <w:color w:val="000000"/>
                <w:kern w:val="0"/>
                <w:sz w:val="24"/>
                <w:szCs w:val="24"/>
                <w:highlight w:val="none"/>
                <w:lang w:val="en-US" w:eastAsia="zh-CN" w:bidi="ar"/>
              </w:rPr>
              <w:t>3</w:t>
            </w:r>
            <w:r>
              <w:rPr>
                <w:rFonts w:hint="default" w:ascii="Times New Roman" w:hAnsi="Times New Roman" w:eastAsia="宋体" w:cs="Times New Roman"/>
                <w:b w:val="0"/>
                <w:bCs w:val="0"/>
                <w:color w:val="000000"/>
                <w:kern w:val="0"/>
                <w:sz w:val="24"/>
                <w:szCs w:val="24"/>
                <w:highlight w:val="none"/>
                <w:lang w:val="en-US" w:eastAsia="zh-CN" w:bidi="ar"/>
              </w:rPr>
              <w:t>）根据《泉州市人民政府关于公布泉州市内资投资准入特别管理措施（负面清单）（试行）的通知》（泉政</w:t>
            </w:r>
            <w:r>
              <w:rPr>
                <w:rFonts w:hint="eastAsia" w:ascii="Times New Roman" w:hAnsi="Times New Roman" w:eastAsia="宋体" w:cs="Times New Roman"/>
                <w:b w:val="0"/>
                <w:bCs w:val="0"/>
                <w:color w:val="000000"/>
                <w:kern w:val="0"/>
                <w:sz w:val="24"/>
                <w:szCs w:val="24"/>
                <w:highlight w:val="none"/>
                <w:lang w:val="en-US" w:eastAsia="zh-CN" w:bidi="ar"/>
              </w:rPr>
              <w:t xml:space="preserve">  </w:t>
            </w:r>
            <w:r>
              <w:rPr>
                <w:rFonts w:hint="default" w:ascii="Times New Roman" w:hAnsi="Times New Roman" w:eastAsia="宋体" w:cs="Times New Roman"/>
                <w:b w:val="0"/>
                <w:bCs w:val="0"/>
                <w:color w:val="000000"/>
                <w:kern w:val="0"/>
                <w:sz w:val="24"/>
                <w:szCs w:val="24"/>
                <w:highlight w:val="none"/>
                <w:lang w:val="en-US" w:eastAsia="zh-CN" w:bidi="ar"/>
              </w:rPr>
              <w:t>文〔2015〕97号），项目属于</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C23 印刷和记录媒介的复制业；C29 塑料零件及其他塑料制品制造</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，本项目与负面清单符合性分析见下表</w:t>
            </w:r>
            <w:r>
              <w:rPr>
                <w:rFonts w:hint="eastAsia" w:ascii="Times New Roman" w:hAnsi="Times New Roman" w:eastAsia="宋体" w:cs="Times New Roman"/>
                <w:b w:val="0"/>
                <w:bCs w:val="0"/>
                <w:color w:val="000000"/>
                <w:kern w:val="0"/>
                <w:sz w:val="24"/>
                <w:szCs w:val="24"/>
                <w:highlight w:val="none"/>
                <w:lang w:val="en-US" w:eastAsia="zh-CN" w:bidi="ar"/>
              </w:rPr>
              <w:t>1.3-2</w:t>
            </w:r>
            <w:r>
              <w:rPr>
                <w:rFonts w:hint="default" w:ascii="Times New Roman" w:hAnsi="Times New Roman" w:eastAsia="宋体" w:cs="Times New Roman"/>
                <w:b w:val="0"/>
                <w:bCs w:val="0"/>
                <w:color w:val="000000"/>
                <w:kern w:val="0"/>
                <w:sz w:val="24"/>
                <w:szCs w:val="24"/>
                <w:highlight w:val="none"/>
                <w:lang w:val="en-US" w:eastAsia="zh-CN" w:bidi="ar"/>
              </w:rPr>
              <w:t>。</w:t>
            </w:r>
          </w:p>
          <w:p w14:paraId="142AECD8">
            <w:pPr>
              <w:pStyle w:val="22"/>
              <w:spacing w:before="120" w:beforeLines="50" w:line="360" w:lineRule="auto"/>
              <w:ind w:firstLine="0" w:firstLineChars="0"/>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表1</w:t>
            </w:r>
            <w:r>
              <w:rPr>
                <w:rFonts w:hint="eastAsia" w:ascii="Times New Roman" w:hAnsi="Times New Roman" w:eastAsia="宋体" w:cs="Times New Roman"/>
                <w:b/>
                <w:bCs/>
                <w:sz w:val="24"/>
                <w:szCs w:val="24"/>
                <w:highlight w:val="none"/>
                <w:lang w:val="en-US" w:eastAsia="zh-CN"/>
              </w:rPr>
              <w:t>.3-2</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与泉州市内资投资准入</w:t>
            </w:r>
            <w:r>
              <w:rPr>
                <w:rFonts w:hint="default" w:ascii="Times New Roman" w:hAnsi="Times New Roman" w:eastAsia="宋体" w:cs="Times New Roman"/>
                <w:b/>
                <w:bCs/>
                <w:sz w:val="24"/>
                <w:szCs w:val="24"/>
                <w:highlight w:val="none"/>
                <w:lang w:val="en-US" w:eastAsia="zh-CN"/>
              </w:rPr>
              <w:t>负面清单</w:t>
            </w:r>
            <w:r>
              <w:rPr>
                <w:rFonts w:hint="default" w:ascii="Times New Roman" w:hAnsi="Times New Roman" w:eastAsia="宋体" w:cs="Times New Roman"/>
                <w:b/>
                <w:bCs/>
                <w:sz w:val="24"/>
                <w:szCs w:val="24"/>
                <w:highlight w:val="none"/>
              </w:rPr>
              <w:t>分析对照表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864"/>
              <w:gridCol w:w="3876"/>
              <w:gridCol w:w="1466"/>
              <w:gridCol w:w="537"/>
            </w:tblGrid>
            <w:tr w14:paraId="6E77B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413" w:type="pct"/>
                  <w:noWrap w:val="0"/>
                  <w:vAlign w:val="center"/>
                </w:tcPr>
                <w:p w14:paraId="5503607A">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门类</w:t>
                  </w:r>
                </w:p>
              </w:tc>
              <w:tc>
                <w:tcPr>
                  <w:tcW w:w="587" w:type="pct"/>
                  <w:noWrap w:val="0"/>
                  <w:vAlign w:val="center"/>
                </w:tcPr>
                <w:p w14:paraId="48BCD336">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类别</w:t>
                  </w:r>
                </w:p>
              </w:tc>
              <w:tc>
                <w:tcPr>
                  <w:tcW w:w="2637" w:type="pct"/>
                  <w:noWrap w:val="0"/>
                  <w:vAlign w:val="center"/>
                </w:tcPr>
                <w:p w14:paraId="72AEE3E9">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特别管理措施</w:t>
                  </w:r>
                </w:p>
              </w:tc>
              <w:tc>
                <w:tcPr>
                  <w:tcW w:w="997" w:type="pct"/>
                  <w:noWrap w:val="0"/>
                  <w:vAlign w:val="center"/>
                </w:tcPr>
                <w:p w14:paraId="6B046BE0">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本项目情况</w:t>
                  </w:r>
                </w:p>
              </w:tc>
              <w:tc>
                <w:tcPr>
                  <w:tcW w:w="365" w:type="pct"/>
                  <w:noWrap w:val="0"/>
                  <w:vAlign w:val="center"/>
                </w:tcPr>
                <w:p w14:paraId="21C3490A">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符合情况</w:t>
                  </w:r>
                </w:p>
              </w:tc>
            </w:tr>
            <w:tr w14:paraId="52E24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413" w:type="pct"/>
                  <w:vMerge w:val="restart"/>
                  <w:noWrap w:val="0"/>
                  <w:vAlign w:val="center"/>
                </w:tcPr>
                <w:p w14:paraId="4FF16E78">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lang w:val="en-US" w:eastAsia="zh-CN"/>
                    </w:rPr>
                    <w:t>C制造业</w:t>
                  </w:r>
                </w:p>
              </w:tc>
              <w:tc>
                <w:tcPr>
                  <w:tcW w:w="587" w:type="pct"/>
                  <w:noWrap w:val="0"/>
                  <w:vAlign w:val="center"/>
                </w:tcPr>
                <w:p w14:paraId="2DA24052">
                  <w:pPr>
                    <w:widowControl w:val="0"/>
                    <w:spacing w:line="340" w:lineRule="exact"/>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C23</w:t>
                  </w:r>
                </w:p>
                <w:p w14:paraId="5F129E21">
                  <w:pPr>
                    <w:widowControl w:val="0"/>
                    <w:spacing w:line="340" w:lineRule="exact"/>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印刷和记录媒介的复制业</w:t>
                  </w:r>
                </w:p>
              </w:tc>
              <w:tc>
                <w:tcPr>
                  <w:tcW w:w="2637" w:type="pct"/>
                  <w:noWrap w:val="0"/>
                  <w:vAlign w:val="center"/>
                </w:tcPr>
                <w:p w14:paraId="6FD3C2E4">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采用《产业结构调整指导目录》禁止类的落后生产工艺装备，如铅排、铅印、</w:t>
                  </w:r>
                  <w:r>
                    <w:rPr>
                      <w:rFonts w:hint="eastAsia" w:ascii="Times New Roman" w:hAnsi="Times New Roman" w:eastAsia="宋体" w:cs="Times New Roman"/>
                      <w:sz w:val="21"/>
                      <w:szCs w:val="21"/>
                      <w:highlight w:val="none"/>
                      <w:lang w:eastAsia="zh-CN"/>
                    </w:rPr>
                    <w:t>照相</w:t>
                  </w:r>
                  <w:r>
                    <w:rPr>
                      <w:rFonts w:hint="default" w:ascii="Times New Roman" w:hAnsi="Times New Roman" w:cs="Times New Roman"/>
                      <w:sz w:val="21"/>
                      <w:szCs w:val="21"/>
                      <w:highlight w:val="none"/>
                    </w:rPr>
                    <w:t>制版机、铸字机、铸条机、铸版机、印刷机、排版机、排字机、胶印机、1985年前生产的手动照排机、国产制版照相机</w:t>
                  </w:r>
                  <w:r>
                    <w:rPr>
                      <w:rFonts w:hint="eastAsia" w:ascii="Times New Roman" w:hAnsi="Times New Roman" w:eastAsia="宋体" w:cs="Times New Roman"/>
                      <w:sz w:val="21"/>
                      <w:szCs w:val="21"/>
                      <w:highlight w:val="none"/>
                      <w:lang w:eastAsia="zh-CN"/>
                    </w:rPr>
                    <w:t>等</w:t>
                  </w:r>
                  <w:r>
                    <w:rPr>
                      <w:rFonts w:hint="default" w:ascii="Times New Roman" w:hAnsi="Times New Roman" w:cs="Times New Roman"/>
                      <w:sz w:val="21"/>
                      <w:szCs w:val="21"/>
                      <w:highlight w:val="none"/>
                    </w:rPr>
                    <w:t>项目</w:t>
                  </w:r>
                </w:p>
              </w:tc>
              <w:tc>
                <w:tcPr>
                  <w:tcW w:w="1359" w:type="dxa"/>
                  <w:noWrap w:val="0"/>
                  <w:vAlign w:val="center"/>
                </w:tcPr>
                <w:p w14:paraId="67570985">
                  <w:pPr>
                    <w:widowControl w:val="0"/>
                    <w:spacing w:line="340" w:lineRule="exact"/>
                    <w:ind w:firstLine="0" w:firstLineChars="0"/>
                    <w:rPr>
                      <w:rFonts w:hint="default" w:ascii="Times New Roman" w:hAnsi="Times New Roman" w:cs="Times New Roman"/>
                      <w:color w:val="000000" w:themeColor="text1"/>
                      <w:sz w:val="21"/>
                      <w:szCs w:val="21"/>
                      <w:highlight w:val="none"/>
                      <w:shd w:val="clear" w:color="auto" w:fill="FFFFFF"/>
                      <w:lang w:val="en-US"/>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项目所用印</w:t>
                  </w:r>
                  <w:r>
                    <w:rPr>
                      <w:rFonts w:hint="eastAsia" w:ascii="Times New Roman" w:hAnsi="Times New Roman" w:cs="Times New Roman"/>
                      <w:color w:val="auto"/>
                      <w:sz w:val="21"/>
                      <w:szCs w:val="21"/>
                      <w:highlight w:val="none"/>
                      <w:lang w:val="en-US" w:eastAsia="zh-CN"/>
                    </w:rPr>
                    <w:t>刷工艺设备为床围带机，不涉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及左侧的落后设备。</w:t>
                  </w:r>
                </w:p>
              </w:tc>
              <w:tc>
                <w:tcPr>
                  <w:tcW w:w="365" w:type="pct"/>
                  <w:noWrap w:val="0"/>
                  <w:vAlign w:val="center"/>
                </w:tcPr>
                <w:p w14:paraId="6120D7CF">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7D007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413" w:type="pct"/>
                  <w:vMerge w:val="continue"/>
                  <w:noWrap w:val="0"/>
                  <w:vAlign w:val="center"/>
                </w:tcPr>
                <w:p w14:paraId="3DD23BFA">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p>
              </w:tc>
              <w:tc>
                <w:tcPr>
                  <w:tcW w:w="587" w:type="pct"/>
                  <w:vMerge w:val="restart"/>
                  <w:noWrap w:val="0"/>
                  <w:vAlign w:val="center"/>
                </w:tcPr>
                <w:p w14:paraId="4758FE2E">
                  <w:pPr>
                    <w:widowControl w:val="0"/>
                    <w:spacing w:line="340" w:lineRule="exact"/>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C29</w:t>
                  </w:r>
                </w:p>
                <w:p w14:paraId="7B72BEE1">
                  <w:pPr>
                    <w:widowControl w:val="0"/>
                    <w:spacing w:line="340" w:lineRule="exact"/>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橡胶和塑料制品业</w:t>
                  </w:r>
                </w:p>
              </w:tc>
              <w:tc>
                <w:tcPr>
                  <w:tcW w:w="2637" w:type="pct"/>
                  <w:noWrap w:val="0"/>
                  <w:vAlign w:val="center"/>
                </w:tcPr>
                <w:p w14:paraId="364590E6">
                  <w:pPr>
                    <w:pStyle w:val="22"/>
                    <w:spacing w:line="340" w:lineRule="exact"/>
                    <w:ind w:firstLine="0" w:firstLineChars="0"/>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限制投资：</w:t>
                  </w:r>
                </w:p>
                <w:p w14:paraId="2B78CE88">
                  <w:pPr>
                    <w:pStyle w:val="22"/>
                    <w:spacing w:line="340" w:lineRule="exact"/>
                    <w:ind w:firstLine="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①超薄型</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厚度低于0.015毫米</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塑料袋生产</w:t>
                  </w:r>
                </w:p>
                <w:p w14:paraId="08F820BD">
                  <w:pPr>
                    <w:pStyle w:val="22"/>
                    <w:spacing w:line="340" w:lineRule="exact"/>
                    <w:ind w:firstLine="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②新建以含氢氯氟烃</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HCFCs</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为发泡剂的聚氨酯泡沫塑料生产线、连续挤出聚苯乙烯泡沫塑料</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XPS</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生产线</w:t>
                  </w:r>
                </w:p>
                <w:p w14:paraId="0071C302">
                  <w:pPr>
                    <w:pStyle w:val="22"/>
                    <w:spacing w:line="340" w:lineRule="exact"/>
                    <w:ind w:firstLine="0" w:firstLineChars="0"/>
                    <w:rPr>
                      <w:rFonts w:hint="default" w:ascii="Times New Roman" w:hAnsi="Times New Roman" w:cs="Times New Roman"/>
                      <w:szCs w:val="21"/>
                      <w:highlight w:val="none"/>
                      <w:shd w:val="clear" w:color="auto" w:fill="FFFFFF"/>
                    </w:rPr>
                  </w:pPr>
                  <w:r>
                    <w:rPr>
                      <w:rFonts w:hint="default" w:ascii="Times New Roman" w:hAnsi="Times New Roman" w:cs="Times New Roman"/>
                      <w:szCs w:val="21"/>
                      <w:highlight w:val="none"/>
                    </w:rPr>
                    <w:t>③聚氯乙烯</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PVC</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食品保鲜包装膜生产</w:t>
                  </w:r>
                </w:p>
              </w:tc>
              <w:tc>
                <w:tcPr>
                  <w:tcW w:w="1359" w:type="dxa"/>
                  <w:vMerge w:val="restart"/>
                  <w:noWrap w:val="0"/>
                  <w:vAlign w:val="center"/>
                </w:tcPr>
                <w:p w14:paraId="4DBCBD48">
                  <w:pPr>
                    <w:widowControl w:val="0"/>
                    <w:spacing w:line="340" w:lineRule="exact"/>
                    <w:ind w:firstLine="0" w:firstLineChars="0"/>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本项目的所用PVC膜、TPU膜等原辅材料通过采购获得，且项目产品主要为充气床、露营垫、箱包等，不涉及塑料袋、泡沫塑料以及PVC食品保鲜膜的生产。</w:t>
                  </w:r>
                </w:p>
              </w:tc>
              <w:tc>
                <w:tcPr>
                  <w:tcW w:w="365" w:type="pct"/>
                  <w:vMerge w:val="restart"/>
                  <w:noWrap w:val="0"/>
                  <w:vAlign w:val="center"/>
                </w:tcPr>
                <w:p w14:paraId="290A8D96">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620D5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413" w:type="pct"/>
                  <w:vMerge w:val="continue"/>
                  <w:noWrap w:val="0"/>
                  <w:vAlign w:val="center"/>
                </w:tcPr>
                <w:p w14:paraId="0A012D67">
                  <w:pPr>
                    <w:pStyle w:val="22"/>
                    <w:spacing w:line="340" w:lineRule="exact"/>
                    <w:ind w:firstLine="0" w:firstLineChars="0"/>
                    <w:rPr>
                      <w:rFonts w:hint="default" w:ascii="Times New Roman" w:hAnsi="Times New Roman" w:cs="Times New Roman"/>
                      <w:highlight w:val="none"/>
                    </w:rPr>
                  </w:pPr>
                </w:p>
              </w:tc>
              <w:tc>
                <w:tcPr>
                  <w:tcW w:w="587" w:type="pct"/>
                  <w:vMerge w:val="continue"/>
                  <w:noWrap w:val="0"/>
                  <w:vAlign w:val="center"/>
                </w:tcPr>
                <w:p w14:paraId="0AB384AB">
                  <w:pPr>
                    <w:pStyle w:val="22"/>
                    <w:spacing w:line="340" w:lineRule="exact"/>
                    <w:ind w:firstLine="0" w:firstLineChars="0"/>
                    <w:rPr>
                      <w:rFonts w:hint="default" w:ascii="Times New Roman" w:hAnsi="Times New Roman" w:cs="Times New Roman"/>
                      <w:highlight w:val="none"/>
                    </w:rPr>
                  </w:pPr>
                </w:p>
              </w:tc>
              <w:tc>
                <w:tcPr>
                  <w:tcW w:w="2637" w:type="pct"/>
                  <w:noWrap w:val="0"/>
                  <w:vAlign w:val="center"/>
                </w:tcPr>
                <w:p w14:paraId="3B780505">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禁止投资：</w:t>
                  </w:r>
                </w:p>
                <w:p w14:paraId="11ACCF01">
                  <w:pPr>
                    <w:pStyle w:val="22"/>
                    <w:spacing w:line="340" w:lineRule="exact"/>
                    <w:ind w:firstLine="0" w:firstLineChars="0"/>
                    <w:rPr>
                      <w:rFonts w:hint="default" w:ascii="Times New Roman" w:hAnsi="Times New Roman" w:cs="Times New Roman"/>
                      <w:szCs w:val="21"/>
                      <w:highlight w:val="none"/>
                    </w:rPr>
                  </w:pPr>
                  <w:r>
                    <w:rPr>
                      <w:rFonts w:hint="default" w:ascii="Times New Roman" w:hAnsi="Times New Roman" w:cs="Times New Roman"/>
                      <w:szCs w:val="21"/>
                      <w:highlight w:val="none"/>
                    </w:rPr>
                    <w:t>①超薄型</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厚度低于0.0</w:t>
                  </w:r>
                  <w:r>
                    <w:rPr>
                      <w:rFonts w:hint="default" w:ascii="Times New Roman" w:hAnsi="Times New Roman" w:cs="Times New Roman"/>
                      <w:szCs w:val="21"/>
                      <w:highlight w:val="none"/>
                      <w:lang w:val="en-US" w:eastAsia="zh-CN"/>
                    </w:rPr>
                    <w:t>2</w:t>
                  </w:r>
                  <w:r>
                    <w:rPr>
                      <w:rFonts w:hint="default" w:ascii="Times New Roman" w:hAnsi="Times New Roman" w:cs="Times New Roman"/>
                      <w:szCs w:val="21"/>
                      <w:highlight w:val="none"/>
                    </w:rPr>
                    <w:t>5毫米</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塑料袋生产</w:t>
                  </w:r>
                </w:p>
                <w:p w14:paraId="27186414">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rPr>
                    <w:t>②以氯氟烃</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CFCs</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为发泡剂的聚氨酯、聚乙烯、聚苯乙烯泡沫塑料生产</w:t>
                  </w:r>
                </w:p>
              </w:tc>
              <w:tc>
                <w:tcPr>
                  <w:tcW w:w="997" w:type="pct"/>
                  <w:vMerge w:val="continue"/>
                  <w:noWrap w:val="0"/>
                  <w:vAlign w:val="center"/>
                </w:tcPr>
                <w:p w14:paraId="23B0F761">
                  <w:pPr>
                    <w:pStyle w:val="22"/>
                    <w:spacing w:line="340" w:lineRule="exact"/>
                    <w:ind w:firstLine="0" w:firstLineChars="0"/>
                    <w:rPr>
                      <w:rFonts w:hint="default" w:ascii="Times New Roman" w:hAnsi="Times New Roman" w:cs="Times New Roman"/>
                      <w:szCs w:val="21"/>
                      <w:highlight w:val="none"/>
                    </w:rPr>
                  </w:pPr>
                </w:p>
              </w:tc>
              <w:tc>
                <w:tcPr>
                  <w:tcW w:w="365" w:type="pct"/>
                  <w:vMerge w:val="continue"/>
                  <w:noWrap w:val="0"/>
                  <w:vAlign w:val="center"/>
                </w:tcPr>
                <w:p w14:paraId="065E23A9">
                  <w:pPr>
                    <w:pStyle w:val="22"/>
                    <w:spacing w:line="340" w:lineRule="exact"/>
                    <w:ind w:firstLine="0" w:firstLineChars="0"/>
                    <w:rPr>
                      <w:rFonts w:hint="default" w:ascii="Times New Roman" w:hAnsi="Times New Roman" w:cs="Times New Roman"/>
                      <w:szCs w:val="21"/>
                      <w:highlight w:val="none"/>
                    </w:rPr>
                  </w:pPr>
                </w:p>
              </w:tc>
            </w:tr>
          </w:tbl>
          <w:p w14:paraId="3C41E7EF">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1.3.5 与全省生态环境总体准入要求符合性分析</w:t>
            </w:r>
          </w:p>
          <w:p w14:paraId="1B4D468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根据《福建省人民政府关于实施</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三线一单</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生态环境分区管控的通知》（闽政〔2020〕12号），本项目与全省生态环境总体准入要求符合性分析如下表</w:t>
            </w:r>
            <w:r>
              <w:rPr>
                <w:rFonts w:hint="eastAsia" w:ascii="Times New Roman" w:hAnsi="Times New Roman" w:eastAsia="宋体" w:cs="Times New Roman"/>
                <w:b w:val="0"/>
                <w:bCs w:val="0"/>
                <w:color w:val="000000"/>
                <w:kern w:val="0"/>
                <w:sz w:val="24"/>
                <w:szCs w:val="24"/>
                <w:highlight w:val="none"/>
                <w:lang w:val="en-US" w:eastAsia="zh-CN" w:bidi="ar"/>
              </w:rPr>
              <w:t>1.3-3</w:t>
            </w:r>
            <w:r>
              <w:rPr>
                <w:rFonts w:hint="default" w:ascii="Times New Roman" w:hAnsi="Times New Roman" w:eastAsia="宋体" w:cs="Times New Roman"/>
                <w:b w:val="0"/>
                <w:bCs w:val="0"/>
                <w:color w:val="000000"/>
                <w:kern w:val="0"/>
                <w:sz w:val="24"/>
                <w:szCs w:val="24"/>
                <w:highlight w:val="none"/>
                <w:lang w:val="en-US" w:eastAsia="zh-CN" w:bidi="ar"/>
              </w:rPr>
              <w:t>。</w:t>
            </w:r>
          </w:p>
          <w:p w14:paraId="68ACAFEA">
            <w:pPr>
              <w:pStyle w:val="22"/>
              <w:spacing w:before="120" w:beforeLines="50" w:line="360" w:lineRule="auto"/>
              <w:ind w:firstLine="0" w:firstLineChars="0"/>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表1</w:t>
            </w:r>
            <w:r>
              <w:rPr>
                <w:rFonts w:hint="eastAsia" w:ascii="Times New Roman" w:hAnsi="Times New Roman" w:eastAsia="宋体" w:cs="Times New Roman"/>
                <w:b/>
                <w:bCs/>
                <w:sz w:val="24"/>
                <w:szCs w:val="24"/>
                <w:highlight w:val="none"/>
                <w:lang w:val="en-US" w:eastAsia="zh-CN"/>
              </w:rPr>
              <w:t>.3-3</w:t>
            </w:r>
            <w:r>
              <w:rPr>
                <w:rFonts w:hint="default" w:ascii="Times New Roman" w:hAnsi="Times New Roman" w:eastAsia="宋体" w:cs="Times New Roman"/>
                <w:b/>
                <w:bCs/>
                <w:sz w:val="24"/>
                <w:szCs w:val="24"/>
                <w:highlight w:val="none"/>
                <w:lang w:val="en-US" w:eastAsia="zh-CN"/>
              </w:rPr>
              <w:t xml:space="preserve"> 与全省生态环境总体准入要求符合性</w:t>
            </w:r>
            <w:r>
              <w:rPr>
                <w:rFonts w:hint="default" w:ascii="Times New Roman" w:hAnsi="Times New Roman" w:eastAsia="宋体" w:cs="Times New Roman"/>
                <w:b/>
                <w:bCs/>
                <w:sz w:val="24"/>
                <w:szCs w:val="24"/>
                <w:highlight w:val="none"/>
              </w:rPr>
              <w:t>分析对照表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514"/>
              <w:gridCol w:w="3036"/>
              <w:gridCol w:w="2656"/>
              <w:gridCol w:w="537"/>
            </w:tblGrid>
            <w:tr w14:paraId="1D15F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413" w:type="pct"/>
                  <w:noWrap w:val="0"/>
                  <w:vAlign w:val="center"/>
                </w:tcPr>
                <w:p w14:paraId="06AD5063">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适用范围</w:t>
                  </w:r>
                </w:p>
              </w:tc>
              <w:tc>
                <w:tcPr>
                  <w:tcW w:w="2414" w:type="pct"/>
                  <w:gridSpan w:val="2"/>
                  <w:noWrap w:val="0"/>
                  <w:vAlign w:val="center"/>
                </w:tcPr>
                <w:p w14:paraId="6805DDD2">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准入要求</w:t>
                  </w:r>
                </w:p>
              </w:tc>
              <w:tc>
                <w:tcPr>
                  <w:tcW w:w="1806" w:type="pct"/>
                  <w:noWrap w:val="0"/>
                  <w:vAlign w:val="center"/>
                </w:tcPr>
                <w:p w14:paraId="1DACFE82">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本项目情况</w:t>
                  </w:r>
                </w:p>
              </w:tc>
              <w:tc>
                <w:tcPr>
                  <w:tcW w:w="365" w:type="pct"/>
                  <w:noWrap w:val="0"/>
                  <w:vAlign w:val="center"/>
                </w:tcPr>
                <w:p w14:paraId="6DEE1F18">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符合情况</w:t>
                  </w:r>
                </w:p>
              </w:tc>
            </w:tr>
            <w:tr w14:paraId="0DD49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413" w:type="pct"/>
                  <w:vMerge w:val="restart"/>
                  <w:noWrap w:val="0"/>
                  <w:vAlign w:val="center"/>
                </w:tcPr>
                <w:p w14:paraId="5BC0328B">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lang w:val="en-US" w:eastAsia="zh-CN"/>
                    </w:rPr>
                    <w:t>全省陆域</w:t>
                  </w:r>
                </w:p>
              </w:tc>
              <w:tc>
                <w:tcPr>
                  <w:tcW w:w="349" w:type="pct"/>
                  <w:noWrap w:val="0"/>
                  <w:vAlign w:val="center"/>
                </w:tcPr>
                <w:p w14:paraId="49A234A2">
                  <w:pPr>
                    <w:widowControl w:val="0"/>
                    <w:spacing w:line="340" w:lineRule="exact"/>
                    <w:ind w:firstLine="0" w:firstLineChars="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空间布局约束</w:t>
                  </w:r>
                </w:p>
              </w:tc>
              <w:tc>
                <w:tcPr>
                  <w:tcW w:w="2065" w:type="pct"/>
                  <w:noWrap w:val="0"/>
                  <w:vAlign w:val="center"/>
                </w:tcPr>
                <w:p w14:paraId="0E776D70">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1.石化、汽车、船舶、冶金、水泥、制浆造纸、印染等重点产业，要符合全省规划布局要求。</w:t>
                  </w:r>
                </w:p>
                <w:p w14:paraId="1D2135F2">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2.严控钢铁、水泥、平板玻璃等产能过剩行业新增产能，新增产能应实施产能等量或减量置换。</w:t>
                  </w:r>
                </w:p>
                <w:p w14:paraId="58929F70">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3.除列入国家规划的大型煤电和符合相关要求的等容量替代项目，以及以供热为主的热电联产项目外，原则上不再建设新的煤电项目。</w:t>
                  </w:r>
                </w:p>
                <w:p w14:paraId="07435737">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4.氟化工产业应集中布局在《关于促进我省氟化工产业绿色高效发展的若干意见》中确定的园区，在上述园区之外不再新建氟化工项目，园区之外现有氟化工项目不再扩大规模。</w:t>
                  </w:r>
                </w:p>
                <w:p w14:paraId="03D7EA9F">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5.禁止在水环境质量不能稳定达标的区域内，建设新增相应不达标污染物指标排放量的工业项目。</w:t>
                  </w:r>
                </w:p>
              </w:tc>
              <w:tc>
                <w:tcPr>
                  <w:tcW w:w="1806" w:type="pct"/>
                  <w:noWrap w:val="0"/>
                  <w:vAlign w:val="center"/>
                </w:tcPr>
                <w:p w14:paraId="6D1563D5">
                  <w:pPr>
                    <w:widowControl w:val="0"/>
                    <w:spacing w:line="340" w:lineRule="exact"/>
                    <w:ind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1.本项目所属相关产业为包装印刷与塑料制品制造，不涉及石化、汽车、船舶、冶金、水泥、制浆造纸、印染等重点产业。</w:t>
                  </w:r>
                </w:p>
                <w:p w14:paraId="2B260DBC">
                  <w:pPr>
                    <w:widowControl w:val="0"/>
                    <w:spacing w:line="340" w:lineRule="exact"/>
                    <w:ind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2.项目主要生产户外用品，不属于钢铁、水泥、平板玻璃等产能过剩行业。</w:t>
                  </w:r>
                </w:p>
                <w:p w14:paraId="41E649DC">
                  <w:pPr>
                    <w:widowControl w:val="0"/>
                    <w:spacing w:line="340" w:lineRule="exact"/>
                    <w:ind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3.本项目不属于煤电项目。</w:t>
                  </w:r>
                </w:p>
                <w:p w14:paraId="31E5FA03">
                  <w:pPr>
                    <w:widowControl w:val="0"/>
                    <w:spacing w:line="340" w:lineRule="exact"/>
                    <w:ind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4.本项目不涉及氟化工业。</w:t>
                  </w:r>
                </w:p>
                <w:p w14:paraId="2E6152AA">
                  <w:pPr>
                    <w:widowControl w:val="0"/>
                    <w:spacing w:line="340" w:lineRule="exact"/>
                    <w:ind w:firstLine="0" w:firstLineChars="0"/>
                    <w:rPr>
                      <w:rFonts w:hint="default" w:ascii="Times New Roman" w:hAnsi="Times New Roman" w:cs="Times New Roman"/>
                      <w:sz w:val="21"/>
                      <w:szCs w:val="21"/>
                      <w:highlight w:val="none"/>
                      <w:shd w:val="clear" w:color="auto" w:fill="FFFFFF"/>
                      <w:lang w:val="en-US"/>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5.项目所在区域主要地表水系为桃溪，符合《地表水环境质量标准》（GB 3838-2002）Ⅲ类标准，说明项目所在地目前水环境质量能够稳定达标，且项目不会产生不达标污染物。</w:t>
                  </w:r>
                </w:p>
              </w:tc>
              <w:tc>
                <w:tcPr>
                  <w:tcW w:w="365" w:type="pct"/>
                  <w:noWrap w:val="0"/>
                  <w:vAlign w:val="center"/>
                </w:tcPr>
                <w:p w14:paraId="0821CB5C">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7E811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413" w:type="pct"/>
                  <w:vMerge w:val="continue"/>
                  <w:noWrap w:val="0"/>
                  <w:vAlign w:val="center"/>
                </w:tcPr>
                <w:p w14:paraId="02185929">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p>
              </w:tc>
              <w:tc>
                <w:tcPr>
                  <w:tcW w:w="349" w:type="pct"/>
                  <w:noWrap w:val="0"/>
                  <w:vAlign w:val="center"/>
                </w:tcPr>
                <w:p w14:paraId="3750D6FD">
                  <w:pPr>
                    <w:widowControl w:val="0"/>
                    <w:spacing w:line="340" w:lineRule="exact"/>
                    <w:ind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污染物准入管控</w:t>
                  </w:r>
                </w:p>
              </w:tc>
              <w:tc>
                <w:tcPr>
                  <w:tcW w:w="2065" w:type="pct"/>
                  <w:noWrap w:val="0"/>
                  <w:vAlign w:val="center"/>
                </w:tcPr>
                <w:p w14:paraId="21C93E40">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1.建设项目新增的主要污染物排放量应按要求实行等量或倍量替代。涉及总磷排放的建设项目应按照要求实行总磷排放量倍量或等量削减替代。涉及重金属重点行业建设项目新增的重点重金属污染物应按要求实行</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减量置换</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或</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等量替换</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w:t>
                  </w:r>
                  <w:r>
                    <w:rPr>
                      <w:rFonts w:hint="eastAsia" w:ascii="Times New Roman" w:hAnsi="Times New Roman" w:cs="Times New Roman"/>
                      <w:szCs w:val="21"/>
                      <w:highlight w:val="none"/>
                      <w:lang w:val="en-US" w:eastAsia="zh-CN"/>
                    </w:rPr>
                    <w:t>涉及</w:t>
                  </w:r>
                  <w:r>
                    <w:rPr>
                      <w:rFonts w:hint="default" w:ascii="Times New Roman" w:hAnsi="Times New Roman" w:cs="Times New Roman"/>
                      <w:szCs w:val="21"/>
                      <w:highlight w:val="none"/>
                      <w:lang w:val="en-US" w:eastAsia="zh-CN"/>
                    </w:rPr>
                    <w:t>新增VOCs排放项目，VOCs排放实行区域内等量替代，福州、厦门、漳州、泉州、莆田、宁德等 6 个重点控制区可实施倍量替代。</w:t>
                  </w:r>
                </w:p>
                <w:p w14:paraId="52156883">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2.新建水泥、有色金属项目应执行大气污染物特别排放限值，钢铁项目应执行超低排放指标要求，火电项目应达到超低排放限值。</w:t>
                  </w:r>
                </w:p>
                <w:p w14:paraId="1AC347FB">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3.尾水排入近岸海域汇水区域、</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六江两溪</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流域以及湖泊、水库等封闭、半封闭水域的城镇污水处理设施执行不低于一级A排放标准。</w:t>
                  </w:r>
                </w:p>
              </w:tc>
              <w:tc>
                <w:tcPr>
                  <w:tcW w:w="1806" w:type="pct"/>
                  <w:noWrap w:val="0"/>
                  <w:vAlign w:val="center"/>
                </w:tcPr>
                <w:p w14:paraId="65554AFC">
                  <w:pPr>
                    <w:widowControl w:val="0"/>
                    <w:spacing w:line="340" w:lineRule="exact"/>
                    <w:ind w:firstLine="0" w:firstLineChars="0"/>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1、项目VOCS排放按1.2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倍量</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削减替代。</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本项目不涉及总磷和重金属污染物排放</w:t>
                  </w:r>
                </w:p>
                <w:p w14:paraId="2CD6B68A">
                  <w:pPr>
                    <w:widowControl w:val="0"/>
                    <w:spacing w:line="340" w:lineRule="exact"/>
                    <w:ind w:firstLine="0" w:firstLineChars="0"/>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2、本项目不属于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水泥、有色金属</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、钢铁及火电产业类别</w:t>
                  </w:r>
                </w:p>
                <w:p w14:paraId="5057C419">
                  <w:pPr>
                    <w:widowControl w:val="0"/>
                    <w:spacing w:line="340" w:lineRule="exact"/>
                    <w:ind w:firstLine="0" w:firstLineChars="0"/>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3、项目尾水主要为生活污水，通过出租方化粪池处理后接入市政管网由蓬壶镇污水处理厂深度处理，不涉及左侧相关水域。</w:t>
                  </w:r>
                </w:p>
                <w:p w14:paraId="5A0F6568">
                  <w:pPr>
                    <w:widowControl w:val="0"/>
                    <w:spacing w:line="340" w:lineRule="exact"/>
                    <w:ind w:firstLine="0" w:firstLineChars="0"/>
                    <w:rPr>
                      <w:rFonts w:hint="default" w:ascii="Times New Roman" w:hAnsi="Times New Roman" w:eastAsia="宋体" w:cs="Times New Roman"/>
                      <w:sz w:val="21"/>
                      <w:szCs w:val="21"/>
                      <w:highlight w:val="none"/>
                      <w:shd w:val="clear" w:color="auto" w:fill="FFFFFF"/>
                      <w:lang w:eastAsia="zh-CN"/>
                    </w:rPr>
                  </w:pPr>
                </w:p>
              </w:tc>
              <w:tc>
                <w:tcPr>
                  <w:tcW w:w="365" w:type="pct"/>
                  <w:noWrap w:val="0"/>
                  <w:vAlign w:val="center"/>
                </w:tcPr>
                <w:p w14:paraId="438DC62F">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bl>
          <w:p w14:paraId="19384A27">
            <w:pPr>
              <w:spacing w:line="360" w:lineRule="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1.3.6 </w:t>
            </w:r>
            <w:r>
              <w:rPr>
                <w:rFonts w:hint="default" w:ascii="Times New Roman" w:hAnsi="Times New Roman" w:cs="Times New Roman"/>
                <w:b/>
                <w:bCs/>
                <w:color w:val="000000" w:themeColor="text1"/>
                <w:sz w:val="24"/>
                <w:highlight w:val="none"/>
                <w14:textFill>
                  <w14:solidFill>
                    <w14:schemeClr w14:val="tx1"/>
                  </w14:solidFill>
                </w14:textFill>
              </w:rPr>
              <w:t>与</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泉州市生态环境准入要求</w:t>
            </w:r>
            <w:r>
              <w:rPr>
                <w:rFonts w:hint="default" w:ascii="Times New Roman" w:hAnsi="Times New Roman" w:cs="Times New Roman"/>
                <w:b/>
                <w:bCs/>
                <w:color w:val="000000" w:themeColor="text1"/>
                <w:sz w:val="24"/>
                <w:highlight w:val="none"/>
                <w14:textFill>
                  <w14:solidFill>
                    <w14:schemeClr w14:val="tx1"/>
                  </w14:solidFill>
                </w14:textFill>
              </w:rPr>
              <w:t>符合性分析</w:t>
            </w:r>
          </w:p>
          <w:p w14:paraId="1F818A91">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根据《泉州市生态环境局关于发布泉州市2023年生态环境分区管控动态更新成果的通知》</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环保</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64</w:t>
            </w:r>
            <w:r>
              <w:rPr>
                <w:rFonts w:hint="default" w:ascii="Times New Roman" w:hAnsi="Times New Roman" w:cs="Times New Roman"/>
                <w:color w:val="000000" w:themeColor="text1"/>
                <w:sz w:val="24"/>
                <w:highlight w:val="none"/>
                <w14:textFill>
                  <w14:solidFill>
                    <w14:schemeClr w14:val="tx1"/>
                  </w14:solidFill>
                </w14:textFill>
              </w:rPr>
              <w:t>号</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，项目所在区域涉及</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永春县乡镇级</w:t>
            </w:r>
            <w:r>
              <w:rPr>
                <w:rFonts w:hint="default" w:ascii="Times New Roman" w:hAnsi="Times New Roman" w:cs="Times New Roman"/>
                <w:color w:val="000000" w:themeColor="text1"/>
                <w:sz w:val="24"/>
                <w:highlight w:val="none"/>
                <w14:textFill>
                  <w14:solidFill>
                    <w14:schemeClr w14:val="tx1"/>
                  </w14:solidFill>
                </w14:textFill>
              </w:rPr>
              <w:t>工业园区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编号：ZH35052520002</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和永春县重点管控单元1（ZH35052520003）</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均</w:t>
            </w:r>
            <w:r>
              <w:rPr>
                <w:rFonts w:hint="default" w:ascii="Times New Roman" w:hAnsi="Times New Roman" w:cs="Times New Roman"/>
                <w:color w:val="000000" w:themeColor="text1"/>
                <w:sz w:val="24"/>
                <w:highlight w:val="none"/>
                <w14:textFill>
                  <w14:solidFill>
                    <w14:schemeClr w14:val="tx1"/>
                  </w14:solidFill>
                </w14:textFill>
              </w:rPr>
              <w:t>为重点管控单元</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详见附图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w:t>
            </w:r>
            <w:r>
              <w:rPr>
                <w:rFonts w:hint="default" w:ascii="Times New Roman" w:hAnsi="Times New Roman" w:cs="Times New Roman"/>
                <w:color w:val="000000" w:themeColor="text1"/>
                <w:sz w:val="24"/>
                <w:highlight w:val="none"/>
                <w14:textFill>
                  <w14:solidFill>
                    <w14:schemeClr w14:val="tx1"/>
                  </w14:solidFill>
                </w14:textFill>
              </w:rPr>
              <w:t>，具体分析见表1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14:textFill>
                  <w14:solidFill>
                    <w14:schemeClr w14:val="tx1"/>
                  </w14:solidFill>
                </w14:textFill>
              </w:rPr>
              <w:t>。</w:t>
            </w:r>
          </w:p>
          <w:p w14:paraId="44580A88">
            <w:pPr>
              <w:jc w:val="center"/>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表1</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.3</w:t>
            </w:r>
            <w:r>
              <w:rPr>
                <w:rFonts w:hint="default" w:ascii="Times New Roman" w:hAnsi="Times New Roman" w:cs="Times New Roman"/>
                <w:b/>
                <w:color w:val="000000" w:themeColor="text1"/>
                <w:sz w:val="24"/>
                <w:highlight w:val="none"/>
                <w14:textFill>
                  <w14:solidFill>
                    <w14:schemeClr w14:val="tx1"/>
                  </w14:solidFill>
                </w14:textFill>
              </w:rPr>
              <w:t>-</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4</w:t>
            </w:r>
            <w:r>
              <w:rPr>
                <w:rFonts w:hint="default" w:ascii="Times New Roman" w:hAnsi="Times New Roman" w:cs="Times New Roman"/>
                <w:b/>
                <w:color w:val="000000" w:themeColor="text1"/>
                <w:sz w:val="24"/>
                <w:highlight w:val="none"/>
                <w14:textFill>
                  <w14:solidFill>
                    <w14:schemeClr w14:val="tx1"/>
                  </w14:solidFill>
                </w14:textFill>
              </w:rPr>
              <w:t xml:space="preserve"> 与泉州市生态环境分区管控相符性分析一览表</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8"/>
              <w:gridCol w:w="504"/>
              <w:gridCol w:w="3519"/>
              <w:gridCol w:w="2121"/>
              <w:gridCol w:w="652"/>
            </w:tblGrid>
            <w:tr w14:paraId="2ADBB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Align w:val="center"/>
                </w:tcPr>
                <w:p w14:paraId="0098E86A">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适用范围</w:t>
                  </w:r>
                </w:p>
              </w:tc>
              <w:tc>
                <w:tcPr>
                  <w:tcW w:w="2735" w:type="pct"/>
                  <w:gridSpan w:val="2"/>
                  <w:vAlign w:val="center"/>
                </w:tcPr>
                <w:p w14:paraId="0518D84B">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准入要求</w:t>
                  </w:r>
                </w:p>
              </w:tc>
              <w:tc>
                <w:tcPr>
                  <w:tcW w:w="1442" w:type="pct"/>
                  <w:vAlign w:val="center"/>
                </w:tcPr>
                <w:p w14:paraId="252E680D">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项目情况</w:t>
                  </w:r>
                </w:p>
              </w:tc>
              <w:tc>
                <w:tcPr>
                  <w:tcW w:w="443" w:type="pct"/>
                  <w:vAlign w:val="center"/>
                </w:tcPr>
                <w:p w14:paraId="005A7F8B">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符合性</w:t>
                  </w:r>
                </w:p>
              </w:tc>
            </w:tr>
            <w:tr w14:paraId="25F39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14:paraId="49058B03">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泉州市总体陆域</w:t>
                  </w:r>
                </w:p>
              </w:tc>
              <w:tc>
                <w:tcPr>
                  <w:tcW w:w="342" w:type="pct"/>
                  <w:vAlign w:val="center"/>
                </w:tcPr>
                <w:p w14:paraId="74B2D70E">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空间布局约束</w:t>
                  </w:r>
                </w:p>
              </w:tc>
              <w:tc>
                <w:tcPr>
                  <w:tcW w:w="2392" w:type="pct"/>
                  <w:vAlign w:val="center"/>
                </w:tcPr>
                <w:p w14:paraId="0BF117E5">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1.除湄洲湾石化基地外，其他地方不再布局新的石化中上游项目。</w:t>
                  </w:r>
                </w:p>
                <w:p w14:paraId="3B2E5D92">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2.泉州高新技术产业开发区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鲤城园</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、泉州经济技术开发区、福建晋江经济开发区五里园、泉州台商投资区禁止引进耗水量大、重污染等三类企业。</w:t>
                  </w:r>
                </w:p>
                <w:p w14:paraId="7CC87869">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3.福建洛江经济开发区禁止引入新增铅、汞、镉、铬和砷等重点重金属污染物排放的建设项目，现有化工</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单纯混合或者分装除外</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蓄电池企业应限制规模，有条件时逐步退出；福建南安经济开发区禁止新建制浆造纸和以排放氨氮、总磷等主要污染物的工业项目；福建永春工业园区严禁引入不符合园区规划的三类工业，禁止引入排放重金属、持久性污染物的工业项目。</w:t>
                  </w:r>
                </w:p>
                <w:p w14:paraId="31C05433">
                  <w:pPr>
                    <w:adjustRightInd w:val="0"/>
                    <w:snapToGrid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4.泉州高新技术产业开发区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石狮园</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禁止引入新增重金属及持久性有机污染物排放的项目；福建南安经济开发区禁止引进电镀、涉剧毒物质、涉重金属和持久性污染物</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等</w:t>
                  </w:r>
                  <w:r>
                    <w:rPr>
                      <w:rFonts w:hint="default" w:ascii="Times New Roman" w:hAnsi="Times New Roman" w:cs="Times New Roman"/>
                      <w:color w:val="000000" w:themeColor="text1"/>
                      <w:szCs w:val="21"/>
                      <w:highlight w:val="none"/>
                      <w14:textFill>
                        <w14:solidFill>
                          <w14:schemeClr w14:val="tx1"/>
                        </w14:solidFill>
                      </w14:textFill>
                    </w:rPr>
                    <w:t>环境风险项目。</w:t>
                  </w:r>
                </w:p>
                <w:p w14:paraId="3A6AEC57">
                  <w:pPr>
                    <w:autoSpaceDE w:val="0"/>
                    <w:autoSpaceDN w:val="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5.未经市委、市政府同意，禁止新建制革、造纸、电镀、漂染等重污染项目。</w:t>
                  </w:r>
                </w:p>
              </w:tc>
              <w:tc>
                <w:tcPr>
                  <w:tcW w:w="1442" w:type="pct"/>
                  <w:vAlign w:val="center"/>
                </w:tcPr>
                <w:p w14:paraId="0BE4F711">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1、本项目不属于石化项目。</w:t>
                  </w:r>
                </w:p>
                <w:p w14:paraId="6DA3AE93">
                  <w:pPr>
                    <w:rPr>
                      <w:rFonts w:hint="default" w:ascii="Times New Roman" w:hAnsi="Times New Roman" w:cs="Times New Roman"/>
                      <w:color w:val="000000" w:themeColor="text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2、本项目位于</w:t>
                  </w:r>
                  <w:r>
                    <w:rPr>
                      <w:rFonts w:hint="default" w:ascii="Times New Roman" w:hAnsi="Times New Roman" w:cs="Times New Roman"/>
                      <w:color w:val="000000" w:themeColor="text1"/>
                      <w:szCs w:val="21"/>
                      <w:highlight w:val="none"/>
                      <w14:textFill>
                        <w14:solidFill>
                          <w14:schemeClr w14:val="tx1"/>
                        </w14:solidFill>
                      </w14:textFill>
                    </w:rPr>
                    <w:t>福建省泉州市永春县蓬壶镇</w:t>
                  </w:r>
                  <w:r>
                    <w:rPr>
                      <w:rFonts w:hint="default" w:ascii="Times New Roman" w:hAnsi="Times New Roman" w:cs="Times New Roman"/>
                      <w:color w:val="000000" w:themeColor="text1"/>
                      <w:szCs w:val="21"/>
                      <w:highlight w:val="none"/>
                      <w:lang w:val="en-US" w:eastAsia="zh-CN"/>
                      <w14:textFill>
                        <w14:solidFill>
                          <w14:schemeClr w14:val="tx1"/>
                        </w14:solidFill>
                      </w14:textFill>
                    </w:rPr>
                    <w:t>蓬壶工业园</w:t>
                  </w:r>
                  <w:r>
                    <w:rPr>
                      <w:rStyle w:val="40"/>
                      <w:rFonts w:hint="default" w:ascii="Times New Roman" w:hAnsi="Times New Roman" w:cs="Times New Roman"/>
                      <w:color w:val="000000" w:themeColor="text1"/>
                      <w:sz w:val="21"/>
                      <w:szCs w:val="21"/>
                      <w:highlight w:val="none"/>
                      <w14:textFill>
                        <w14:solidFill>
                          <w14:schemeClr w14:val="tx1"/>
                        </w14:solidFill>
                      </w14:textFill>
                    </w:rPr>
                    <w:t>，不属于</w:t>
                  </w:r>
                  <w:r>
                    <w:rPr>
                      <w:rFonts w:hint="default" w:ascii="Times New Roman" w:hAnsi="Times New Roman" w:cs="Times New Roman"/>
                      <w:color w:val="000000" w:themeColor="text1"/>
                      <w:szCs w:val="21"/>
                      <w:highlight w:val="none"/>
                      <w14:textFill>
                        <w14:solidFill>
                          <w14:schemeClr w14:val="tx1"/>
                        </w14:solidFill>
                      </w14:textFill>
                    </w:rPr>
                    <w:t>泉州高新技术产业开发区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鲤城园</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、泉州经济技术开发区、福建晋江经济开发区五里园、泉州台商投资区。</w:t>
                  </w:r>
                </w:p>
                <w:p w14:paraId="61E96616">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3、本项目不属于三类工业项目，不涉及重金属、持久性污染物排放。</w:t>
                  </w:r>
                </w:p>
                <w:p w14:paraId="21CC3065">
                  <w:pP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4、本项目不属于泉州高新技术产业开发区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石狮园</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、福建南安经济开发区。</w:t>
                  </w:r>
                </w:p>
                <w:p w14:paraId="32F987D8">
                  <w:pPr>
                    <w:rPr>
                      <w:rFonts w:hint="default" w:ascii="Times New Roman" w:hAnsi="Times New Roman" w:cs="Times New Roman"/>
                      <w:color w:val="000000" w:themeColor="text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5、本项目不属于制革、造纸、电镀、漂染等重污染项目。</w:t>
                  </w:r>
                </w:p>
              </w:tc>
              <w:tc>
                <w:tcPr>
                  <w:tcW w:w="443" w:type="pct"/>
                  <w:vAlign w:val="center"/>
                </w:tcPr>
                <w:p w14:paraId="29DD32D3">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5DE37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0DADB8F5">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342" w:type="pct"/>
                  <w:vAlign w:val="center"/>
                </w:tcPr>
                <w:p w14:paraId="5C9D5788">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污染物排放管控</w:t>
                  </w:r>
                </w:p>
              </w:tc>
              <w:tc>
                <w:tcPr>
                  <w:tcW w:w="2392" w:type="pct"/>
                  <w:vAlign w:val="center"/>
                </w:tcPr>
                <w:p w14:paraId="1B33F604">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涉及</w:t>
                  </w:r>
                  <w:r>
                    <w:rPr>
                      <w:rFonts w:hint="default" w:ascii="Times New Roman" w:hAnsi="Times New Roman" w:cs="Times New Roman"/>
                      <w:color w:val="000000" w:themeColor="text1"/>
                      <w:szCs w:val="21"/>
                      <w:highlight w:val="none"/>
                      <w14:textFill>
                        <w14:solidFill>
                          <w14:schemeClr w14:val="tx1"/>
                        </w14:solidFill>
                      </w14:textFill>
                    </w:rPr>
                    <w:t>新增VOCs排放项目，实施区域内VOCs排放1.2倍削减替代。</w:t>
                  </w:r>
                </w:p>
              </w:tc>
              <w:tc>
                <w:tcPr>
                  <w:tcW w:w="1442" w:type="pct"/>
                  <w:vAlign w:val="center"/>
                </w:tcPr>
                <w:p w14:paraId="3371C9BA">
                  <w:pPr>
                    <w:autoSpaceDE w:val="0"/>
                    <w:autoSpaceDN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涉及VOCs的排放，施行1.2倍量替代</w:t>
                  </w:r>
                  <w:r>
                    <w:rPr>
                      <w:rFonts w:hint="default" w:ascii="Times New Roman" w:hAnsi="Times New Roman" w:cs="Times New Roman"/>
                      <w:color w:val="000000" w:themeColor="text1"/>
                      <w:szCs w:val="21"/>
                      <w:highlight w:val="none"/>
                      <w:lang w:eastAsia="zh-CN"/>
                      <w14:textFill>
                        <w14:solidFill>
                          <w14:schemeClr w14:val="tx1"/>
                        </w14:solidFill>
                      </w14:textFill>
                    </w:rPr>
                    <w:t>。</w:t>
                  </w:r>
                </w:p>
              </w:tc>
              <w:tc>
                <w:tcPr>
                  <w:tcW w:w="443" w:type="pct"/>
                  <w:vAlign w:val="center"/>
                </w:tcPr>
                <w:p w14:paraId="2F54A8FB">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符合</w:t>
                  </w:r>
                </w:p>
              </w:tc>
            </w:tr>
            <w:tr w14:paraId="012E0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14:paraId="44D1D4CD">
                  <w:pPr>
                    <w:autoSpaceDE w:val="0"/>
                    <w:autoSpaceDN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永春县乡镇级</w:t>
                  </w:r>
                  <w:r>
                    <w:rPr>
                      <w:rFonts w:hint="default" w:ascii="Times New Roman" w:hAnsi="Times New Roman" w:cs="Times New Roman"/>
                      <w:color w:val="000000" w:themeColor="text1"/>
                      <w:szCs w:val="21"/>
                      <w:highlight w:val="none"/>
                      <w14:textFill>
                        <w14:solidFill>
                          <w14:schemeClr w14:val="tx1"/>
                        </w14:solidFill>
                      </w14:textFill>
                    </w:rPr>
                    <w:t>工业园区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ZH35052520002</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tc>
              <w:tc>
                <w:tcPr>
                  <w:tcW w:w="342" w:type="pct"/>
                  <w:vAlign w:val="center"/>
                </w:tcPr>
                <w:p w14:paraId="68A2B34D">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空间布局约束</w:t>
                  </w:r>
                </w:p>
              </w:tc>
              <w:tc>
                <w:tcPr>
                  <w:tcW w:w="2392" w:type="pct"/>
                  <w:vAlign w:val="center"/>
                </w:tcPr>
                <w:p w14:paraId="72D53F4F">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1.</w:t>
                  </w:r>
                  <w:r>
                    <w:rPr>
                      <w:rStyle w:val="40"/>
                      <w:rFonts w:hint="default" w:ascii="Times New Roman" w:hAnsi="Times New Roman" w:cs="Times New Roman"/>
                      <w:color w:val="000000" w:themeColor="text1"/>
                      <w:sz w:val="21"/>
                      <w:szCs w:val="21"/>
                      <w:highlight w:val="none"/>
                      <w14:textFill>
                        <w14:solidFill>
                          <w14:schemeClr w14:val="tx1"/>
                        </w14:solidFill>
                      </w14:textFill>
                    </w:rPr>
                    <w:t>严禁在城镇人口密集区新建危险化学品生产企业；现有不符合安全和卫生防护距离要求的危险化学品生产企业2025年底前完成就地改造达标、搬迁进入规范化工园区或关闭退出。</w:t>
                  </w:r>
                </w:p>
                <w:p w14:paraId="77E7C258">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w:t>
                  </w:r>
                  <w:r>
                    <w:rPr>
                      <w:rStyle w:val="40"/>
                      <w:rFonts w:hint="default" w:ascii="Times New Roman" w:hAnsi="Times New Roman" w:cs="Times New Roman"/>
                      <w:color w:val="000000" w:themeColor="text1"/>
                      <w:sz w:val="21"/>
                      <w:szCs w:val="21"/>
                      <w:highlight w:val="none"/>
                      <w14:textFill>
                        <w14:solidFill>
                          <w14:schemeClr w14:val="tx1"/>
                        </w14:solidFill>
                      </w14:textFill>
                    </w:rPr>
                    <w:t>禁止在城镇居民区、文化教育科学研究区等人口集中区域建设畜禽养殖场、养殖小区。</w:t>
                  </w:r>
                </w:p>
              </w:tc>
              <w:tc>
                <w:tcPr>
                  <w:tcW w:w="1442" w:type="pct"/>
                  <w:vAlign w:val="center"/>
                </w:tcPr>
                <w:p w14:paraId="40626203">
                  <w:pPr>
                    <w:rPr>
                      <w:rStyle w:val="40"/>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Style w:val="40"/>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w:t>
                  </w:r>
                  <w:r>
                    <w:rPr>
                      <w:rStyle w:val="40"/>
                      <w:rFonts w:hint="default" w:ascii="Times New Roman" w:hAnsi="Times New Roman" w:cs="Times New Roman"/>
                      <w:color w:val="000000" w:themeColor="text1"/>
                      <w:sz w:val="21"/>
                      <w:szCs w:val="21"/>
                      <w:highlight w:val="none"/>
                      <w14:textFill>
                        <w14:solidFill>
                          <w14:schemeClr w14:val="tx1"/>
                        </w14:solidFill>
                      </w14:textFill>
                    </w:rPr>
                    <w:t>危险化学品生产企业</w:t>
                  </w:r>
                  <w:r>
                    <w:rPr>
                      <w:rStyle w:val="40"/>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、畜禽养殖场、养殖小区。</w:t>
                  </w:r>
                </w:p>
              </w:tc>
              <w:tc>
                <w:tcPr>
                  <w:tcW w:w="443" w:type="pct"/>
                  <w:vAlign w:val="center"/>
                </w:tcPr>
                <w:p w14:paraId="703F52F0">
                  <w:pPr>
                    <w:jc w:val="cente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E4C4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070A2069">
                  <w:pPr>
                    <w:autoSpaceDE w:val="0"/>
                    <w:autoSpaceDN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342" w:type="pct"/>
                  <w:vAlign w:val="center"/>
                </w:tcPr>
                <w:p w14:paraId="2A8A2008">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污染物排放管控</w:t>
                  </w:r>
                </w:p>
              </w:tc>
              <w:tc>
                <w:tcPr>
                  <w:tcW w:w="2392" w:type="pct"/>
                  <w:vAlign w:val="center"/>
                </w:tcPr>
                <w:p w14:paraId="6D09AF9D">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1.涉新增VOCs排放项目，实施区域内VOCs排放1.2倍削减替代。</w:t>
                  </w:r>
                </w:p>
                <w:p w14:paraId="0FFB9C1D">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2.包装印刷业烘干车间应安装吸附设备回收有机溶剂，车间有机废气净化效率应达到90%以上。</w:t>
                  </w:r>
                </w:p>
              </w:tc>
              <w:tc>
                <w:tcPr>
                  <w:tcW w:w="1442" w:type="pct"/>
                  <w:vAlign w:val="center"/>
                </w:tcPr>
                <w:p w14:paraId="2FDD4189">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1、项目VOC</w:t>
                  </w:r>
                  <w:r>
                    <w:rPr>
                      <w:rStyle w:val="40"/>
                      <w:rFonts w:hint="default" w:ascii="Times New Roman" w:hAnsi="Times New Roman" w:cs="Times New Roman"/>
                      <w:color w:val="000000" w:themeColor="text1"/>
                      <w:sz w:val="21"/>
                      <w:szCs w:val="21"/>
                      <w:highlight w:val="none"/>
                      <w:vertAlign w:val="subscript"/>
                      <w14:textFill>
                        <w14:solidFill>
                          <w14:schemeClr w14:val="tx1"/>
                        </w14:solidFill>
                      </w14:textFill>
                    </w:rPr>
                    <w:t>S</w:t>
                  </w:r>
                  <w:r>
                    <w:rPr>
                      <w:rStyle w:val="40"/>
                      <w:rFonts w:hint="default" w:ascii="Times New Roman" w:hAnsi="Times New Roman" w:cs="Times New Roman"/>
                      <w:color w:val="000000" w:themeColor="text1"/>
                      <w:sz w:val="21"/>
                      <w:szCs w:val="21"/>
                      <w:highlight w:val="none"/>
                      <w14:textFill>
                        <w14:solidFill>
                          <w14:schemeClr w14:val="tx1"/>
                        </w14:solidFill>
                      </w14:textFill>
                    </w:rPr>
                    <w:t>排放按1.2倍削减替代。</w:t>
                  </w:r>
                </w:p>
                <w:p w14:paraId="42A0C9C5">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2、项目</w:t>
                  </w:r>
                  <w:r>
                    <w:rPr>
                      <w:rStyle w:val="40"/>
                      <w:rFonts w:hint="default" w:ascii="Times New Roman" w:hAnsi="Times New Roman" w:cs="Times New Roman"/>
                      <w:color w:val="000000" w:themeColor="text1"/>
                      <w:sz w:val="21"/>
                      <w:szCs w:val="21"/>
                      <w:highlight w:val="none"/>
                      <w:lang w:val="en-US" w:eastAsia="zh-CN"/>
                      <w14:textFill>
                        <w14:solidFill>
                          <w14:schemeClr w14:val="tx1"/>
                        </w14:solidFill>
                      </w14:textFill>
                    </w:rPr>
                    <w:t>印刷</w:t>
                  </w:r>
                  <w:r>
                    <w:rPr>
                      <w:rStyle w:val="40"/>
                      <w:rFonts w:hint="eastAsia" w:ascii="Times New Roman" w:hAnsi="Times New Roman" w:cs="Times New Roman"/>
                      <w:color w:val="000000" w:themeColor="text1"/>
                      <w:sz w:val="21"/>
                      <w:szCs w:val="21"/>
                      <w:highlight w:val="none"/>
                      <w:lang w:val="en-US" w:eastAsia="zh-CN"/>
                      <w14:textFill>
                        <w14:solidFill>
                          <w14:schemeClr w14:val="tx1"/>
                        </w14:solidFill>
                      </w14:textFill>
                    </w:rPr>
                    <w:t>车间采用二级活性炭吸附装置回收有机溶剂</w:t>
                  </w:r>
                  <w:r>
                    <w:rPr>
                      <w:rStyle w:val="40"/>
                      <w:rFonts w:hint="default" w:ascii="Times New Roman" w:hAnsi="Times New Roman" w:cs="Times New Roman"/>
                      <w:color w:val="000000" w:themeColor="text1"/>
                      <w:sz w:val="21"/>
                      <w:szCs w:val="21"/>
                      <w:highlight w:val="none"/>
                      <w14:textFill>
                        <w14:solidFill>
                          <w14:schemeClr w14:val="tx1"/>
                        </w14:solidFill>
                      </w14:textFill>
                    </w:rPr>
                    <w:t>。</w:t>
                  </w:r>
                </w:p>
              </w:tc>
              <w:tc>
                <w:tcPr>
                  <w:tcW w:w="443" w:type="pct"/>
                  <w:vAlign w:val="center"/>
                </w:tcPr>
                <w:p w14:paraId="2D695E1D">
                  <w:pPr>
                    <w:jc w:val="cente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0804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restart"/>
                  <w:vAlign w:val="center"/>
                </w:tcPr>
                <w:p w14:paraId="63D1D5EF">
                  <w:pPr>
                    <w:autoSpaceDE w:val="0"/>
                    <w:autoSpaceDN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永春县重点管控单元1（ZH35052520003）</w:t>
                  </w:r>
                </w:p>
              </w:tc>
              <w:tc>
                <w:tcPr>
                  <w:tcW w:w="342" w:type="pct"/>
                  <w:shd w:val="clear" w:color="auto" w:fill="auto"/>
                  <w:vAlign w:val="center"/>
                </w:tcPr>
                <w:p w14:paraId="24FCD1CA">
                  <w:pPr>
                    <w:autoSpaceDE w:val="0"/>
                    <w:autoSpaceDN w:val="0"/>
                    <w:jc w:val="center"/>
                    <w:rPr>
                      <w:rFonts w:hint="default" w:ascii="Times New Roman" w:hAnsi="Times New Roman" w:eastAsia="Arial"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空间布局约束</w:t>
                  </w:r>
                </w:p>
              </w:tc>
              <w:tc>
                <w:tcPr>
                  <w:tcW w:w="2392" w:type="pct"/>
                  <w:vAlign w:val="center"/>
                </w:tcPr>
                <w:p w14:paraId="00D4467A">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1.</w:t>
                  </w:r>
                  <w:r>
                    <w:rPr>
                      <w:rStyle w:val="40"/>
                      <w:rFonts w:hint="default" w:ascii="Times New Roman" w:hAnsi="Times New Roman" w:cs="Times New Roman"/>
                      <w:color w:val="000000" w:themeColor="text1"/>
                      <w:sz w:val="21"/>
                      <w:szCs w:val="21"/>
                      <w:highlight w:val="none"/>
                      <w14:textFill>
                        <w14:solidFill>
                          <w14:schemeClr w14:val="tx1"/>
                        </w14:solidFill>
                      </w14:textFill>
                    </w:rPr>
                    <w:t>严禁在城镇人口密集区新建危险化学品生产企业；现有不符合安全和卫生防护距离要求的危险化学品生产企业2025年底前完成就地改造达标、搬迁进入规范化工园区或关闭退出。</w:t>
                  </w:r>
                </w:p>
                <w:p w14:paraId="77B50670">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w:t>
                  </w:r>
                  <w:r>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Style w:val="40"/>
                      <w:rFonts w:hint="default" w:ascii="Times New Roman" w:hAnsi="Times New Roman" w:cs="Times New Roman"/>
                      <w:color w:val="000000" w:themeColor="text1"/>
                      <w:sz w:val="21"/>
                      <w:szCs w:val="21"/>
                      <w:highlight w:val="none"/>
                      <w14:textFill>
                        <w14:solidFill>
                          <w14:schemeClr w14:val="tx1"/>
                        </w14:solidFill>
                      </w14:textFill>
                    </w:rPr>
                    <w:t>禁止在城镇居民区、文化教育科学研究区等人口集中区域建设畜禽养殖场、养殖小区。</w:t>
                  </w:r>
                </w:p>
                <w:p w14:paraId="18BC9502">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3.新建高VOCs排放的项目必须进入工业园区。</w:t>
                  </w:r>
                </w:p>
              </w:tc>
              <w:tc>
                <w:tcPr>
                  <w:tcW w:w="1442" w:type="pct"/>
                  <w:vAlign w:val="center"/>
                </w:tcPr>
                <w:p w14:paraId="04D547BA">
                  <w:pPr>
                    <w:rPr>
                      <w:rStyle w:val="40"/>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40"/>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项目不为危险化学品生产企业，不涉及畜禽养殖，不涉及高</w:t>
                  </w:r>
                  <w:r>
                    <w:rPr>
                      <w:rStyle w:val="40"/>
                      <w:rFonts w:hint="default" w:ascii="Times New Roman" w:hAnsi="Times New Roman" w:cs="Times New Roman"/>
                      <w:color w:val="000000" w:themeColor="text1"/>
                      <w:sz w:val="21"/>
                      <w:szCs w:val="21"/>
                      <w:highlight w:val="none"/>
                      <w14:textFill>
                        <w14:solidFill>
                          <w14:schemeClr w14:val="tx1"/>
                        </w14:solidFill>
                      </w14:textFill>
                    </w:rPr>
                    <w:t>VOCs排放</w:t>
                  </w:r>
                </w:p>
              </w:tc>
              <w:tc>
                <w:tcPr>
                  <w:tcW w:w="443" w:type="pct"/>
                  <w:vAlign w:val="center"/>
                </w:tcPr>
                <w:p w14:paraId="67650C19">
                  <w:pPr>
                    <w:jc w:val="cente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57A46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0CFA3C29">
                  <w:pPr>
                    <w:autoSpaceDE w:val="0"/>
                    <w:autoSpaceDN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342" w:type="pct"/>
                  <w:shd w:val="clear" w:color="auto" w:fill="auto"/>
                  <w:vAlign w:val="center"/>
                </w:tcPr>
                <w:p w14:paraId="6BC532BE">
                  <w:pPr>
                    <w:autoSpaceDE w:val="0"/>
                    <w:autoSpaceDN w:val="0"/>
                    <w:jc w:val="center"/>
                    <w:rPr>
                      <w:rFonts w:hint="default" w:ascii="Times New Roman" w:hAnsi="Times New Roman" w:eastAsia="Arial"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污染物排放管控</w:t>
                  </w:r>
                </w:p>
              </w:tc>
              <w:tc>
                <w:tcPr>
                  <w:tcW w:w="2392" w:type="pct"/>
                  <w:vAlign w:val="center"/>
                </w:tcPr>
                <w:p w14:paraId="49DE1FC2">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1.</w:t>
                  </w:r>
                  <w:r>
                    <w:rPr>
                      <w:rStyle w:val="40"/>
                      <w:rFonts w:hint="default" w:ascii="Times New Roman" w:hAnsi="Times New Roman" w:cs="Times New Roman"/>
                      <w:color w:val="000000" w:themeColor="text1"/>
                      <w:sz w:val="21"/>
                      <w:szCs w:val="21"/>
                      <w:highlight w:val="none"/>
                      <w14:textFill>
                        <w14:solidFill>
                          <w14:schemeClr w14:val="tx1"/>
                        </w14:solidFill>
                      </w14:textFill>
                    </w:rPr>
                    <w:t>新建、改建、扩建规模化畜禽养殖场（小区）要实施雨污分流、粪便污水资源化利用。现有规模化畜禽养殖场（小区）要根据污染防治需要，配套建设粪便污水贮存、处理、利用设施。</w:t>
                  </w:r>
                </w:p>
                <w:p w14:paraId="4C6DE456">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w:t>
                  </w:r>
                  <w:r>
                    <w:rPr>
                      <w:rStyle w:val="40"/>
                      <w:rFonts w:hint="default" w:ascii="Times New Roman" w:hAnsi="Times New Roman" w:cs="Times New Roman"/>
                      <w:color w:val="000000" w:themeColor="text1"/>
                      <w:sz w:val="21"/>
                      <w:szCs w:val="21"/>
                      <w:highlight w:val="none"/>
                      <w14:textFill>
                        <w14:solidFill>
                          <w14:schemeClr w14:val="tx1"/>
                        </w14:solidFill>
                      </w14:textFill>
                    </w:rPr>
                    <w:t>引导畜禽养殖场采用节水、节料、节能等清洁养殖工艺和干清粪、微生物发酵等实用技术，以种养结合、农（林）牧循环，干湿分离、综合利用，就近消纳、不排水域为主线，推进畜禽清洁养殖、生态养殖。</w:t>
                  </w:r>
                </w:p>
                <w:p w14:paraId="1620F78F">
                  <w:pPr>
                    <w:numPr>
                      <w:ilvl w:val="0"/>
                      <w:numId w:val="0"/>
                    </w:num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3.推广低毒、低残留农药使用补助试点经验，开展农作物病虫害绿色防控和统防统治。敏感区域和大中型灌区，应利用现有沟、塘、窖等，配置水生植物群落、格栅和透水坝，建设生态沟渠、污水净化塘、地表径流集蓄池等设施，净化农田排水及地表径流。</w:t>
                  </w:r>
                </w:p>
              </w:tc>
              <w:tc>
                <w:tcPr>
                  <w:tcW w:w="1442" w:type="pct"/>
                  <w:vAlign w:val="center"/>
                </w:tcPr>
                <w:p w14:paraId="096A875B">
                  <w:pPr>
                    <w:rPr>
                      <w:rStyle w:val="40"/>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40"/>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项目不涉及畜禽养殖，不涉及农药的使用</w:t>
                  </w:r>
                </w:p>
              </w:tc>
              <w:tc>
                <w:tcPr>
                  <w:tcW w:w="443" w:type="pct"/>
                  <w:vAlign w:val="center"/>
                </w:tcPr>
                <w:p w14:paraId="155A9BFB">
                  <w:pPr>
                    <w:jc w:val="cente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26411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09A5840B">
                  <w:pPr>
                    <w:autoSpaceDE w:val="0"/>
                    <w:autoSpaceDN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342" w:type="pct"/>
                  <w:vAlign w:val="center"/>
                </w:tcPr>
                <w:p w14:paraId="5BCE2D16">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环境风险防控</w:t>
                  </w:r>
                </w:p>
              </w:tc>
              <w:tc>
                <w:tcPr>
                  <w:tcW w:w="2392" w:type="pct"/>
                  <w:vAlign w:val="center"/>
                </w:tcPr>
                <w:p w14:paraId="7DB964AA">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单元内现有化学原料和化学制品制造业等具有潜在土壤污染环境风险的企业，应建立风险管控制度，完善污染治理设施，储备应急物资。应定期开展环境污染治理设施运行情况巡查，严格监管拆除活动，在拆除生产设施设备、构筑物和污染治理设施活动时，要严格按照国家有关规定，事先制定残留污染物清理和安全处置方案。</w:t>
                  </w:r>
                </w:p>
              </w:tc>
              <w:tc>
                <w:tcPr>
                  <w:tcW w:w="1442" w:type="pct"/>
                  <w:vAlign w:val="center"/>
                </w:tcPr>
                <w:p w14:paraId="4D6132B6">
                  <w:pPr>
                    <w:rPr>
                      <w:rStyle w:val="40"/>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40"/>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建设单位建有风险管控制度，配备污染治理设施，储备应急物资。定期开展巡查，且制定残留污染物清理和安全处置方案</w:t>
                  </w:r>
                </w:p>
              </w:tc>
              <w:tc>
                <w:tcPr>
                  <w:tcW w:w="443" w:type="pct"/>
                  <w:vAlign w:val="center"/>
                </w:tcPr>
                <w:p w14:paraId="03D088F3">
                  <w:pPr>
                    <w:jc w:val="cente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符合</w:t>
                  </w:r>
                </w:p>
              </w:tc>
            </w:tr>
            <w:tr w14:paraId="339AD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vMerge w:val="continue"/>
                  <w:vAlign w:val="center"/>
                </w:tcPr>
                <w:p w14:paraId="00E02955">
                  <w:pPr>
                    <w:autoSpaceDE w:val="0"/>
                    <w:autoSpaceDN w:val="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342" w:type="pct"/>
                  <w:vAlign w:val="center"/>
                </w:tcPr>
                <w:p w14:paraId="782B17C5">
                  <w:pPr>
                    <w:autoSpaceDE w:val="0"/>
                    <w:autoSpaceDN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资源开发效率要求</w:t>
                  </w:r>
                </w:p>
              </w:tc>
              <w:tc>
                <w:tcPr>
                  <w:tcW w:w="2392" w:type="pct"/>
                  <w:vAlign w:val="center"/>
                </w:tcPr>
                <w:p w14:paraId="33DFFD36">
                  <w:pP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禁燃区内，禁止城市建城区居民生活燃用高污染燃料，禁止新建、扩建燃用高污染燃料的设施</w:t>
                  </w:r>
                </w:p>
              </w:tc>
              <w:tc>
                <w:tcPr>
                  <w:tcW w:w="1442" w:type="pct"/>
                  <w:vAlign w:val="center"/>
                </w:tcPr>
                <w:p w14:paraId="3FA0BB83">
                  <w:pPr>
                    <w:rPr>
                      <w:rStyle w:val="40"/>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Style w:val="40"/>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项目不位于禁燃区，且项目生产过程中不使用燃料</w:t>
                  </w:r>
                </w:p>
              </w:tc>
              <w:tc>
                <w:tcPr>
                  <w:tcW w:w="443" w:type="pct"/>
                  <w:vAlign w:val="center"/>
                </w:tcPr>
                <w:p w14:paraId="46BD33D3">
                  <w:pPr>
                    <w:jc w:val="center"/>
                    <w:rPr>
                      <w:rStyle w:val="40"/>
                      <w:rFonts w:hint="default" w:ascii="Times New Roman" w:hAnsi="Times New Roman" w:cs="Times New Roman"/>
                      <w:color w:val="000000" w:themeColor="text1"/>
                      <w:sz w:val="21"/>
                      <w:szCs w:val="21"/>
                      <w:highlight w:val="none"/>
                      <w14:textFill>
                        <w14:solidFill>
                          <w14:schemeClr w14:val="tx1"/>
                        </w14:solidFill>
                      </w14:textFill>
                    </w:rPr>
                  </w:pPr>
                  <w:r>
                    <w:rPr>
                      <w:rStyle w:val="40"/>
                      <w:rFonts w:hint="default" w:ascii="Times New Roman" w:hAnsi="Times New Roman" w:cs="Times New Roman"/>
                      <w:color w:val="000000" w:themeColor="text1"/>
                      <w:sz w:val="21"/>
                      <w:szCs w:val="21"/>
                      <w:highlight w:val="none"/>
                      <w14:textFill>
                        <w14:solidFill>
                          <w14:schemeClr w14:val="tx1"/>
                        </w14:solidFill>
                      </w14:textFill>
                    </w:rPr>
                    <w:t>符合</w:t>
                  </w:r>
                </w:p>
              </w:tc>
            </w:tr>
          </w:tbl>
          <w:p w14:paraId="586F82BB">
            <w:pPr>
              <w:pStyle w:val="42"/>
              <w:spacing w:before="120" w:beforeLines="50" w:after="0"/>
              <w:ind w:left="0" w:leftChars="0" w:firstLine="480"/>
              <w:rPr>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kern w:val="2"/>
                <w:szCs w:val="24"/>
                <w:highlight w:val="none"/>
                <w14:textFill>
                  <w14:solidFill>
                    <w14:schemeClr w14:val="tx1"/>
                  </w14:solidFill>
                </w14:textFill>
              </w:rPr>
              <w:t>因此，本项目建设符合泉州市生态环境准入要求。</w:t>
            </w:r>
          </w:p>
          <w:p w14:paraId="32DCBBA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1.3.</w:t>
            </w:r>
            <w:r>
              <w:rPr>
                <w:rFonts w:hint="eastAsia" w:ascii="Times New Roman" w:hAnsi="Times New Roman" w:eastAsia="宋体" w:cs="Times New Roman"/>
                <w:b/>
                <w:bCs/>
                <w:color w:val="000000"/>
                <w:kern w:val="0"/>
                <w:sz w:val="24"/>
                <w:szCs w:val="24"/>
                <w:highlight w:val="none"/>
                <w:lang w:val="en-US" w:eastAsia="zh-CN" w:bidi="ar"/>
              </w:rPr>
              <w:t>7</w:t>
            </w:r>
            <w:r>
              <w:rPr>
                <w:rFonts w:hint="default" w:ascii="Times New Roman" w:hAnsi="Times New Roman" w:eastAsia="宋体" w:cs="Times New Roman"/>
                <w:b/>
                <w:bCs/>
                <w:color w:val="000000"/>
                <w:kern w:val="0"/>
                <w:sz w:val="24"/>
                <w:szCs w:val="24"/>
                <w:highlight w:val="none"/>
                <w:lang w:val="en-US" w:eastAsia="zh-CN" w:bidi="ar"/>
              </w:rPr>
              <w:t xml:space="preserve"> 与周边环境相容性分析</w:t>
            </w:r>
          </w:p>
          <w:p w14:paraId="397E70A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项目选址</w:t>
            </w:r>
            <w:r>
              <w:rPr>
                <w:rFonts w:hint="eastAsia" w:ascii="Times New Roman" w:hAnsi="Times New Roman" w:eastAsia="宋体" w:cs="Times New Roman"/>
                <w:b w:val="0"/>
                <w:bCs w:val="0"/>
                <w:color w:val="000000"/>
                <w:kern w:val="0"/>
                <w:sz w:val="24"/>
                <w:szCs w:val="24"/>
                <w:highlight w:val="none"/>
                <w:lang w:val="en-US" w:eastAsia="zh-CN" w:bidi="ar"/>
              </w:rPr>
              <w:t>位于</w:t>
            </w:r>
            <w:r>
              <w:rPr>
                <w:rFonts w:hint="default" w:ascii="Times New Roman" w:hAnsi="Times New Roman" w:eastAsia="宋体" w:cs="Times New Roman"/>
                <w:b w:val="0"/>
                <w:bCs w:val="0"/>
                <w:color w:val="000000"/>
                <w:kern w:val="0"/>
                <w:sz w:val="24"/>
                <w:szCs w:val="24"/>
                <w:highlight w:val="none"/>
                <w:lang w:val="en-US" w:eastAsia="zh-CN" w:bidi="ar"/>
              </w:rPr>
              <w:t>福建省泉州市永春县蓬壶镇蓬壶工业园内，</w:t>
            </w:r>
            <w:r>
              <w:rPr>
                <w:rFonts w:hint="eastAsia" w:ascii="Times New Roman" w:hAnsi="Times New Roman" w:eastAsia="宋体" w:cs="Times New Roman"/>
                <w:b w:val="0"/>
                <w:bCs w:val="0"/>
                <w:color w:val="000000"/>
                <w:kern w:val="0"/>
                <w:sz w:val="24"/>
                <w:szCs w:val="24"/>
                <w:highlight w:val="none"/>
                <w:lang w:val="en-US" w:eastAsia="zh-CN" w:bidi="ar"/>
              </w:rPr>
              <w:t>所在</w:t>
            </w:r>
            <w:r>
              <w:rPr>
                <w:rFonts w:hint="default" w:ascii="Times New Roman" w:hAnsi="Times New Roman" w:eastAsia="宋体" w:cs="Times New Roman"/>
                <w:b w:val="0"/>
                <w:bCs w:val="0"/>
                <w:color w:val="000000"/>
                <w:kern w:val="0"/>
                <w:sz w:val="24"/>
                <w:szCs w:val="24"/>
                <w:highlight w:val="none"/>
                <w:lang w:val="en-US" w:eastAsia="zh-CN" w:bidi="ar"/>
              </w:rPr>
              <w:t>区域大气、噪声等环境质量现状良好。根据环境质量现状分析，项目所在区域地表水、大气、声环境质量现状均符合环境质量标准，且尚有一定的环境容量。</w:t>
            </w:r>
          </w:p>
          <w:p w14:paraId="55B8D9B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eastAsia" w:ascii="Times New Roman" w:hAnsi="Times New Roman" w:eastAsia="宋体" w:cs="Times New Roman"/>
                <w:b w:val="0"/>
                <w:bCs w:val="0"/>
                <w:color w:val="000000"/>
                <w:kern w:val="0"/>
                <w:sz w:val="24"/>
                <w:szCs w:val="24"/>
                <w:highlight w:val="none"/>
                <w:lang w:val="en-US" w:eastAsia="zh-CN" w:bidi="ar"/>
              </w:rPr>
              <w:t>项目</w:t>
            </w:r>
            <w:r>
              <w:rPr>
                <w:rFonts w:hint="default" w:ascii="Times New Roman" w:hAnsi="Times New Roman" w:eastAsia="宋体" w:cs="Times New Roman"/>
                <w:b w:val="0"/>
                <w:bCs w:val="0"/>
                <w:color w:val="000000"/>
                <w:kern w:val="0"/>
                <w:sz w:val="24"/>
                <w:szCs w:val="24"/>
                <w:highlight w:val="none"/>
                <w:lang w:val="en-US" w:eastAsia="zh-CN" w:bidi="ar"/>
              </w:rPr>
              <w:t>生产过程中产生的废水、废气、噪声及固废等污染</w:t>
            </w:r>
            <w:r>
              <w:rPr>
                <w:rFonts w:hint="eastAsia" w:ascii="Times New Roman" w:hAnsi="Times New Roman" w:eastAsia="宋体" w:cs="Times New Roman"/>
                <w:b w:val="0"/>
                <w:bCs w:val="0"/>
                <w:color w:val="000000"/>
                <w:kern w:val="0"/>
                <w:sz w:val="24"/>
                <w:szCs w:val="24"/>
                <w:highlight w:val="none"/>
                <w:lang w:val="en-US" w:eastAsia="zh-CN" w:bidi="ar"/>
              </w:rPr>
              <w:t>物，在</w:t>
            </w:r>
            <w:r>
              <w:rPr>
                <w:rFonts w:hint="default" w:ascii="Times New Roman" w:hAnsi="Times New Roman" w:eastAsia="宋体" w:cs="Times New Roman"/>
                <w:b w:val="0"/>
                <w:bCs w:val="0"/>
                <w:color w:val="000000"/>
                <w:kern w:val="0"/>
                <w:sz w:val="24"/>
                <w:szCs w:val="24"/>
                <w:highlight w:val="none"/>
                <w:lang w:val="en-US" w:eastAsia="zh-CN" w:bidi="ar"/>
              </w:rPr>
              <w:t>采取相应的污染防治措施后</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各项污染物均可达标排放，对周边环境影响较小</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同时项目的建设可为周围居民提供就业机会，带动经济发展，项目的建设和周围环境基本相容。</w:t>
            </w:r>
          </w:p>
          <w:p w14:paraId="1405363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eastAsia="宋体" w:cs="Times New Roman"/>
                <w:b/>
                <w:bCs/>
                <w:color w:val="000000"/>
                <w:kern w:val="0"/>
                <w:sz w:val="28"/>
                <w:szCs w:val="28"/>
                <w:highlight w:val="none"/>
                <w:lang w:val="en-US" w:eastAsia="zh-CN" w:bidi="ar"/>
              </w:rPr>
              <w:t>1.4 与挥发性有机物污染防治相关要求的符合性分析</w:t>
            </w:r>
          </w:p>
          <w:p w14:paraId="7A1FD78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1.4.1 与《</w:t>
            </w:r>
            <w:r>
              <w:rPr>
                <w:rFonts w:hint="eastAsia" w:ascii="Times New Roman" w:hAnsi="Times New Roman" w:eastAsia="宋体" w:cs="Times New Roman"/>
                <w:b/>
                <w:bCs/>
                <w:color w:val="000000"/>
                <w:kern w:val="0"/>
                <w:sz w:val="24"/>
                <w:szCs w:val="24"/>
                <w:highlight w:val="none"/>
                <w:lang w:val="en-US" w:eastAsia="zh-CN" w:bidi="ar"/>
              </w:rPr>
              <w:t>“</w:t>
            </w:r>
            <w:r>
              <w:rPr>
                <w:rFonts w:hint="default" w:ascii="Times New Roman" w:hAnsi="Times New Roman" w:eastAsia="宋体" w:cs="Times New Roman"/>
                <w:b/>
                <w:bCs/>
                <w:color w:val="000000"/>
                <w:kern w:val="0"/>
                <w:sz w:val="24"/>
                <w:szCs w:val="24"/>
                <w:highlight w:val="none"/>
                <w:lang w:val="en-US" w:eastAsia="zh-CN" w:bidi="ar"/>
              </w:rPr>
              <w:t>十四五</w:t>
            </w:r>
            <w:r>
              <w:rPr>
                <w:rFonts w:hint="eastAsia" w:ascii="Times New Roman" w:hAnsi="Times New Roman" w:eastAsia="宋体" w:cs="Times New Roman"/>
                <w:b/>
                <w:bCs/>
                <w:color w:val="000000"/>
                <w:kern w:val="0"/>
                <w:sz w:val="24"/>
                <w:szCs w:val="24"/>
                <w:highlight w:val="none"/>
                <w:lang w:val="en-US" w:eastAsia="zh-CN" w:bidi="ar"/>
              </w:rPr>
              <w:t>”</w:t>
            </w:r>
            <w:r>
              <w:rPr>
                <w:rFonts w:hint="default" w:ascii="Times New Roman" w:hAnsi="Times New Roman" w:eastAsia="宋体" w:cs="Times New Roman"/>
                <w:b/>
                <w:bCs/>
                <w:color w:val="000000"/>
                <w:kern w:val="0"/>
                <w:sz w:val="24"/>
                <w:szCs w:val="24"/>
                <w:highlight w:val="none"/>
                <w:lang w:val="en-US" w:eastAsia="zh-CN" w:bidi="ar"/>
              </w:rPr>
              <w:t>挥发性有机物污染防治工作方案》符合性分析</w:t>
            </w:r>
          </w:p>
          <w:p w14:paraId="1E9209D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本项目与《</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十四五</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挥发性有机物污染防治工作方案》符合性分析详见下表</w:t>
            </w:r>
            <w:r>
              <w:rPr>
                <w:rFonts w:hint="eastAsia" w:ascii="Times New Roman" w:hAnsi="Times New Roman" w:eastAsia="宋体" w:cs="Times New Roman"/>
                <w:sz w:val="24"/>
                <w:szCs w:val="24"/>
                <w:highlight w:val="none"/>
                <w:lang w:val="en-US" w:eastAsia="zh-CN"/>
              </w:rPr>
              <w:t>1.4-1</w:t>
            </w:r>
            <w:r>
              <w:rPr>
                <w:rFonts w:hint="default" w:ascii="Times New Roman" w:hAnsi="Times New Roman" w:eastAsia="宋体" w:cs="Times New Roman"/>
                <w:sz w:val="24"/>
                <w:szCs w:val="24"/>
                <w:highlight w:val="none"/>
                <w:lang w:val="en-US" w:eastAsia="zh-CN"/>
              </w:rPr>
              <w:t>。</w:t>
            </w:r>
          </w:p>
          <w:p w14:paraId="76692EB0">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rPr>
              <w:t>表1</w:t>
            </w:r>
            <w:r>
              <w:rPr>
                <w:rFonts w:hint="eastAsia" w:ascii="Times New Roman" w:hAnsi="Times New Roman" w:eastAsia="宋体" w:cs="Times New Roman"/>
                <w:b/>
                <w:bCs/>
                <w:sz w:val="24"/>
                <w:szCs w:val="24"/>
                <w:highlight w:val="none"/>
                <w:lang w:val="en-US" w:eastAsia="zh-CN"/>
              </w:rPr>
              <w:t>.4-1</w:t>
            </w:r>
            <w:r>
              <w:rPr>
                <w:rFonts w:hint="default" w:ascii="Times New Roman" w:hAnsi="Times New Roman" w:eastAsia="宋体" w:cs="Times New Roman"/>
                <w:b/>
                <w:bCs/>
                <w:sz w:val="24"/>
                <w:szCs w:val="24"/>
                <w:highlight w:val="none"/>
                <w:lang w:val="en-US" w:eastAsia="zh-CN"/>
              </w:rPr>
              <w:t xml:space="preserve"> 与</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十四五</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挥发性有机物污染防治工作方案符合性</w:t>
            </w:r>
            <w:r>
              <w:rPr>
                <w:rFonts w:hint="default" w:ascii="Times New Roman" w:hAnsi="Times New Roman" w:eastAsia="宋体" w:cs="Times New Roman"/>
                <w:b/>
                <w:bCs/>
                <w:sz w:val="24"/>
                <w:szCs w:val="24"/>
                <w:highlight w:val="none"/>
              </w:rPr>
              <w:t>分析对照表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116"/>
              <w:gridCol w:w="2697"/>
              <w:gridCol w:w="797"/>
            </w:tblGrid>
            <w:tr w14:paraId="4341A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04" w:type="pct"/>
                  <w:noWrap w:val="0"/>
                  <w:vAlign w:val="center"/>
                </w:tcPr>
                <w:p w14:paraId="216E8A20">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项目</w:t>
                  </w:r>
                </w:p>
              </w:tc>
              <w:tc>
                <w:tcPr>
                  <w:tcW w:w="2118" w:type="pct"/>
                  <w:noWrap w:val="0"/>
                  <w:vAlign w:val="center"/>
                </w:tcPr>
                <w:p w14:paraId="252EB8E5">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控制要求</w:t>
                  </w:r>
                </w:p>
              </w:tc>
              <w:tc>
                <w:tcPr>
                  <w:tcW w:w="1834" w:type="pct"/>
                  <w:noWrap w:val="0"/>
                  <w:vAlign w:val="center"/>
                </w:tcPr>
                <w:p w14:paraId="15588700">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本项目情况</w:t>
                  </w:r>
                </w:p>
              </w:tc>
              <w:tc>
                <w:tcPr>
                  <w:tcW w:w="542" w:type="pct"/>
                  <w:noWrap w:val="0"/>
                  <w:vAlign w:val="center"/>
                </w:tcPr>
                <w:p w14:paraId="05A6447D">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符合情况</w:t>
                  </w:r>
                </w:p>
              </w:tc>
            </w:tr>
            <w:tr w14:paraId="54716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04" w:type="pct"/>
                  <w:noWrap w:val="0"/>
                  <w:vAlign w:val="center"/>
                </w:tcPr>
                <w:p w14:paraId="2E6A5031">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lang w:val="en-US" w:eastAsia="zh-CN"/>
                    </w:rPr>
                    <w:t>大力推进源头替代</w:t>
                  </w:r>
                </w:p>
              </w:tc>
              <w:tc>
                <w:tcPr>
                  <w:tcW w:w="2118" w:type="pct"/>
                  <w:noWrap w:val="0"/>
                  <w:vAlign w:val="center"/>
                </w:tcPr>
                <w:p w14:paraId="3DCC2356">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鼓励汽车、家具、钢结构等工业涂装、包装印刷、化工等行业大力推广使用低</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无</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VOCs含量原辅材料和涂料、胶粘剂等，加快对芳香烃、含卤素有机化合物的绿色替代；鼓励企业推进工艺改进和产品升级，加快生产设备密闭化改造。</w:t>
                  </w:r>
                </w:p>
              </w:tc>
              <w:tc>
                <w:tcPr>
                  <w:tcW w:w="1834" w:type="pct"/>
                  <w:noWrap w:val="0"/>
                  <w:vAlign w:val="center"/>
                </w:tcPr>
                <w:p w14:paraId="00E127F9">
                  <w:pPr>
                    <w:pStyle w:val="7"/>
                    <w:spacing w:line="340" w:lineRule="exact"/>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项目印刷主要使用低VOCs原料的UV油墨（详见4.2.1），印刷工序在床围带机中进行。</w:t>
                  </w:r>
                </w:p>
                <w:p w14:paraId="7C6C4C92">
                  <w:pPr>
                    <w:widowControl w:val="0"/>
                    <w:spacing w:line="340" w:lineRule="exact"/>
                    <w:ind w:firstLine="0" w:firstLineChars="0"/>
                    <w:rPr>
                      <w:rFonts w:hint="default" w:ascii="Times New Roman" w:hAnsi="Times New Roman" w:cs="Times New Roman"/>
                      <w:sz w:val="21"/>
                      <w:szCs w:val="21"/>
                      <w:highlight w:val="none"/>
                      <w:shd w:val="clear" w:color="auto" w:fill="FFFFFF"/>
                    </w:rPr>
                  </w:pPr>
                </w:p>
              </w:tc>
              <w:tc>
                <w:tcPr>
                  <w:tcW w:w="542" w:type="pct"/>
                  <w:noWrap w:val="0"/>
                  <w:vAlign w:val="center"/>
                </w:tcPr>
                <w:p w14:paraId="3AEE0209">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467C1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504" w:type="pct"/>
                  <w:noWrap w:val="0"/>
                  <w:vAlign w:val="center"/>
                </w:tcPr>
                <w:p w14:paraId="42881933">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高质量推动行业达标排放</w:t>
                  </w:r>
                </w:p>
              </w:tc>
              <w:tc>
                <w:tcPr>
                  <w:tcW w:w="2118" w:type="pct"/>
                  <w:noWrap w:val="0"/>
                  <w:vAlign w:val="center"/>
                </w:tcPr>
                <w:p w14:paraId="6C4AC86C">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企业应进一步对照行业标准或无组织排放控制标准要求，加强有组织、无组织排放管控力度，优化生产工艺与技术，实现全流程、全环节的达标排放。</w:t>
                  </w:r>
                </w:p>
              </w:tc>
              <w:tc>
                <w:tcPr>
                  <w:tcW w:w="1834" w:type="pct"/>
                  <w:noWrap w:val="0"/>
                  <w:vAlign w:val="center"/>
                </w:tcPr>
                <w:p w14:paraId="2DADACA8">
                  <w:pPr>
                    <w:widowControl w:val="0"/>
                    <w:spacing w:line="340" w:lineRule="exact"/>
                    <w:ind w:firstLine="0" w:firstLineChars="0"/>
                    <w:rPr>
                      <w:rFonts w:hint="default" w:ascii="Times New Roman" w:hAnsi="Times New Roman" w:eastAsia="宋体" w:cs="Times New Roman"/>
                      <w:sz w:val="21"/>
                      <w:szCs w:val="21"/>
                      <w:highlight w:val="none"/>
                      <w:shd w:val="clear" w:color="auto" w:fill="FFFFFF"/>
                      <w:lang w:val="en-US" w:eastAsia="zh-CN"/>
                    </w:rPr>
                  </w:pPr>
                  <w:r>
                    <w:rPr>
                      <w:rFonts w:hint="eastAsia"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项目将在生产过程中建立全面的监测系统，制定并执行严格的管理制度，明确排放标准、建立责任制、加强巡查和检查；强化污染治理设施，升级治理设备、维护设备正常运行。并且通过改进生产工艺、采用高效节能设备、实施能源管理来实现清洁生产。通过加强物料管理、强化废水、废气、固废处理、提升员工环保意识、加强员工环保培训来达到实现全流程、全环节的达标排放。</w:t>
                  </w:r>
                </w:p>
              </w:tc>
              <w:tc>
                <w:tcPr>
                  <w:tcW w:w="542" w:type="pct"/>
                  <w:noWrap w:val="0"/>
                  <w:vAlign w:val="center"/>
                </w:tcPr>
                <w:p w14:paraId="5F94B49E">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bl>
          <w:p w14:paraId="6569F400">
            <w:pPr>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1.4.2 与《重点行业挥发性有机物综合治理方案》符合性分析</w:t>
            </w:r>
          </w:p>
          <w:p w14:paraId="46695F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本项目与《重点行业挥发性有机物综合治理方案》符合性分析详见下表</w:t>
            </w:r>
            <w:r>
              <w:rPr>
                <w:rFonts w:hint="eastAsia" w:ascii="Times New Roman" w:hAnsi="Times New Roman" w:eastAsia="宋体" w:cs="Times New Roman"/>
                <w:b w:val="0"/>
                <w:bCs w:val="0"/>
                <w:color w:val="000000"/>
                <w:kern w:val="0"/>
                <w:sz w:val="24"/>
                <w:szCs w:val="24"/>
                <w:highlight w:val="none"/>
                <w:lang w:val="en-US" w:eastAsia="zh-CN" w:bidi="ar"/>
              </w:rPr>
              <w:t>1.4-2</w:t>
            </w:r>
            <w:r>
              <w:rPr>
                <w:rFonts w:hint="default" w:ascii="Times New Roman" w:hAnsi="Times New Roman" w:eastAsia="宋体" w:cs="Times New Roman"/>
                <w:b w:val="0"/>
                <w:bCs w:val="0"/>
                <w:color w:val="000000"/>
                <w:kern w:val="0"/>
                <w:sz w:val="24"/>
                <w:szCs w:val="24"/>
                <w:highlight w:val="none"/>
                <w:lang w:val="en-US" w:eastAsia="zh-CN" w:bidi="ar"/>
              </w:rPr>
              <w:t>。</w:t>
            </w:r>
          </w:p>
          <w:p w14:paraId="3822F1D1">
            <w:pPr>
              <w:spacing w:before="120" w:beforeLines="50" w:line="360" w:lineRule="auto"/>
              <w:jc w:val="cente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rPr>
              <w:t>表1</w:t>
            </w:r>
            <w:r>
              <w:rPr>
                <w:rFonts w:hint="eastAsia" w:ascii="Times New Roman" w:hAnsi="Times New Roman" w:eastAsia="宋体" w:cs="Times New Roman"/>
                <w:b/>
                <w:bCs/>
                <w:sz w:val="24"/>
                <w:szCs w:val="24"/>
                <w:highlight w:val="none"/>
                <w:lang w:val="en-US" w:eastAsia="zh-CN"/>
              </w:rPr>
              <w:t>.4-2</w:t>
            </w:r>
            <w:r>
              <w:rPr>
                <w:rFonts w:hint="default" w:ascii="Times New Roman" w:hAnsi="Times New Roman" w:eastAsia="宋体" w:cs="Times New Roman"/>
                <w:b/>
                <w:bCs/>
                <w:sz w:val="24"/>
                <w:szCs w:val="24"/>
                <w:highlight w:val="none"/>
                <w:lang w:val="en-US" w:eastAsia="zh-CN"/>
              </w:rPr>
              <w:t xml:space="preserve"> 与《重点行业挥发性有机物综合治理方案》符合性</w:t>
            </w:r>
            <w:r>
              <w:rPr>
                <w:rFonts w:hint="default" w:ascii="Times New Roman" w:hAnsi="Times New Roman" w:eastAsia="宋体" w:cs="Times New Roman"/>
                <w:b/>
                <w:bCs/>
                <w:sz w:val="24"/>
                <w:szCs w:val="24"/>
                <w:highlight w:val="none"/>
              </w:rPr>
              <w:t>分析对照表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406"/>
              <w:gridCol w:w="2649"/>
              <w:gridCol w:w="537"/>
            </w:tblGrid>
            <w:tr w14:paraId="3A9DC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515" w:type="pct"/>
                  <w:noWrap w:val="0"/>
                  <w:vAlign w:val="center"/>
                </w:tcPr>
                <w:p w14:paraId="03A02E67">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项目</w:t>
                  </w:r>
                </w:p>
              </w:tc>
              <w:tc>
                <w:tcPr>
                  <w:tcW w:w="2316" w:type="pct"/>
                  <w:noWrap w:val="0"/>
                  <w:vAlign w:val="center"/>
                </w:tcPr>
                <w:p w14:paraId="6200D2FA">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控制要求</w:t>
                  </w:r>
                </w:p>
              </w:tc>
              <w:tc>
                <w:tcPr>
                  <w:tcW w:w="1802" w:type="pct"/>
                  <w:noWrap w:val="0"/>
                  <w:vAlign w:val="center"/>
                </w:tcPr>
                <w:p w14:paraId="26ACC85D">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本项目情况</w:t>
                  </w:r>
                </w:p>
              </w:tc>
              <w:tc>
                <w:tcPr>
                  <w:tcW w:w="365" w:type="pct"/>
                  <w:noWrap w:val="0"/>
                  <w:vAlign w:val="center"/>
                </w:tcPr>
                <w:p w14:paraId="420E4311">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符合情况</w:t>
                  </w:r>
                </w:p>
              </w:tc>
            </w:tr>
            <w:tr w14:paraId="78E2E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515" w:type="pct"/>
                  <w:noWrap w:val="0"/>
                  <w:vAlign w:val="center"/>
                </w:tcPr>
                <w:p w14:paraId="013A97B6">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大力推进源头替代</w:t>
                  </w:r>
                </w:p>
              </w:tc>
              <w:tc>
                <w:tcPr>
                  <w:tcW w:w="2316" w:type="pct"/>
                  <w:noWrap w:val="0"/>
                  <w:vAlign w:val="center"/>
                </w:tcPr>
                <w:p w14:paraId="6775286B">
                  <w:pPr>
                    <w:widowControl w:val="0"/>
                    <w:spacing w:line="340" w:lineRule="exact"/>
                    <w:ind w:firstLine="0" w:firstLineChars="0"/>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推广使用低（无）VOCs含量、低反应活性的原辅材料，加快对芳香烃、含卤素有机化合物的绿色替代。优化生产工艺，农药行业推广水相法、生物酶法合成等技术；制药行业推广生物酶法合成技术；橡胶制品行业推广采用串联法混炼、常压连续脱硫工艺。</w:t>
                  </w:r>
                </w:p>
              </w:tc>
              <w:tc>
                <w:tcPr>
                  <w:tcW w:w="1802" w:type="pct"/>
                  <w:noWrap w:val="0"/>
                  <w:vAlign w:val="center"/>
                </w:tcPr>
                <w:p w14:paraId="74A3F245">
                  <w:pPr>
                    <w:widowControl w:val="0"/>
                    <w:spacing w:line="340" w:lineRule="exact"/>
                    <w:ind w:firstLine="0" w:firstLineChars="0"/>
                    <w:jc w:val="both"/>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lang w:val="en-US" w:eastAsia="zh-CN"/>
                    </w:rPr>
                    <w:t>项目原料为低VOC</w:t>
                  </w:r>
                  <w:r>
                    <w:rPr>
                      <w:rFonts w:hint="default" w:ascii="Times New Roman" w:hAnsi="Times New Roman" w:cs="Times New Roman"/>
                      <w:sz w:val="21"/>
                      <w:szCs w:val="21"/>
                      <w:highlight w:val="none"/>
                      <w:vertAlign w:val="subscript"/>
                      <w:lang w:val="en-US" w:eastAsia="zh-CN"/>
                    </w:rPr>
                    <w:t>S</w:t>
                  </w:r>
                  <w:r>
                    <w:rPr>
                      <w:rFonts w:hint="default" w:ascii="Times New Roman" w:hAnsi="Times New Roman" w:cs="Times New Roman"/>
                      <w:sz w:val="21"/>
                      <w:szCs w:val="21"/>
                      <w:highlight w:val="none"/>
                      <w:lang w:val="en-US" w:eastAsia="zh-CN"/>
                    </w:rPr>
                    <w:t>含量</w:t>
                  </w:r>
                  <w:r>
                    <w:rPr>
                      <w:rFonts w:hint="eastAsia" w:ascii="Times New Roman" w:hAnsi="Times New Roman" w:cs="Times New Roman"/>
                      <w:sz w:val="21"/>
                      <w:szCs w:val="21"/>
                      <w:highlight w:val="none"/>
                      <w:lang w:val="en-US" w:eastAsia="zh-CN"/>
                    </w:rPr>
                    <w:t>（详见4.2.1）</w:t>
                  </w:r>
                  <w:r>
                    <w:rPr>
                      <w:rFonts w:hint="default" w:ascii="Times New Roman" w:hAnsi="Times New Roman" w:cs="Times New Roman"/>
                      <w:sz w:val="21"/>
                      <w:szCs w:val="21"/>
                      <w:highlight w:val="none"/>
                      <w:lang w:val="en-US" w:eastAsia="zh-CN"/>
                    </w:rPr>
                    <w:t>低反应活性</w:t>
                  </w:r>
                  <w:r>
                    <w:rPr>
                      <w:rFonts w:hint="eastAsia" w:ascii="Times New Roman" w:hAnsi="Times New Roman" w:cs="Times New Roman"/>
                      <w:sz w:val="21"/>
                      <w:szCs w:val="21"/>
                      <w:highlight w:val="none"/>
                      <w:lang w:val="en-US" w:eastAsia="zh-CN"/>
                    </w:rPr>
                    <w:t>原辅材料。项目原料在使用过程中无反应活性，生产工艺不涉及炼胶、硫化、脱硫等。</w:t>
                  </w:r>
                </w:p>
              </w:tc>
              <w:tc>
                <w:tcPr>
                  <w:tcW w:w="365" w:type="pct"/>
                  <w:noWrap w:val="0"/>
                  <w:vAlign w:val="center"/>
                </w:tcPr>
                <w:p w14:paraId="165E1299">
                  <w:pPr>
                    <w:widowControl w:val="0"/>
                    <w:spacing w:line="340" w:lineRule="exact"/>
                    <w:ind w:firstLine="0" w:firstLineChars="0"/>
                    <w:jc w:val="both"/>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5EAE6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515" w:type="pct"/>
                  <w:noWrap w:val="0"/>
                  <w:vAlign w:val="center"/>
                </w:tcPr>
                <w:p w14:paraId="6B65C8B4">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全面加强无组织排放控制</w:t>
                  </w:r>
                </w:p>
              </w:tc>
              <w:tc>
                <w:tcPr>
                  <w:tcW w:w="2316" w:type="pct"/>
                  <w:noWrap w:val="0"/>
                  <w:vAlign w:val="center"/>
                </w:tcPr>
                <w:p w14:paraId="2519CD0C">
                  <w:pPr>
                    <w:pStyle w:val="22"/>
                    <w:spacing w:line="340" w:lineRule="exact"/>
                    <w:ind w:firstLine="0" w:firstLineChars="0"/>
                    <w:jc w:val="both"/>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802" w:type="pct"/>
                  <w:noWrap w:val="0"/>
                  <w:vAlign w:val="center"/>
                </w:tcPr>
                <w:p w14:paraId="3822022D">
                  <w:pPr>
                    <w:widowControl w:val="0"/>
                    <w:spacing w:line="340" w:lineRule="exact"/>
                    <w:ind w:firstLine="0" w:firstLineChars="0"/>
                    <w:jc w:val="both"/>
                    <w:rPr>
                      <w:rFonts w:hint="default" w:ascii="Times New Roman" w:hAnsi="Times New Roman" w:eastAsia="宋体" w:cs="Times New Roman"/>
                      <w:sz w:val="21"/>
                      <w:szCs w:val="21"/>
                      <w:highlight w:val="none"/>
                      <w:shd w:val="clear" w:color="auto" w:fill="FFFFFF"/>
                      <w:lang w:eastAsia="zh-CN"/>
                    </w:rPr>
                  </w:pPr>
                  <w:r>
                    <w:rPr>
                      <w:rFonts w:hint="default" w:ascii="Times New Roman" w:hAnsi="Times New Roman" w:cs="Times New Roman"/>
                      <w:kern w:val="2"/>
                      <w:sz w:val="21"/>
                      <w:szCs w:val="21"/>
                      <w:highlight w:val="none"/>
                      <w:lang w:val="en-US" w:eastAsia="zh-CN"/>
                    </w:rPr>
                    <w:t>项目</w:t>
                  </w:r>
                  <w:r>
                    <w:rPr>
                      <w:rFonts w:hint="eastAsia" w:ascii="Times New Roman" w:hAnsi="Times New Roman" w:cs="Times New Roman"/>
                      <w:kern w:val="2"/>
                      <w:sz w:val="21"/>
                      <w:szCs w:val="21"/>
                      <w:highlight w:val="none"/>
                      <w:lang w:val="en-US" w:eastAsia="zh-CN"/>
                    </w:rPr>
                    <w:t>印刷</w:t>
                  </w:r>
                  <w:r>
                    <w:rPr>
                      <w:rFonts w:hint="default" w:ascii="Times New Roman" w:hAnsi="Times New Roman" w:cs="Times New Roman"/>
                      <w:kern w:val="2"/>
                      <w:sz w:val="21"/>
                      <w:szCs w:val="21"/>
                      <w:highlight w:val="none"/>
                      <w:lang w:val="en-US" w:eastAsia="zh-CN"/>
                    </w:rPr>
                    <w:t>设备设置于</w:t>
                  </w:r>
                  <w:r>
                    <w:rPr>
                      <w:rFonts w:hint="eastAsia" w:ascii="Times New Roman" w:hAnsi="Times New Roman" w:cs="Times New Roman"/>
                      <w:kern w:val="2"/>
                      <w:sz w:val="21"/>
                      <w:szCs w:val="21"/>
                      <w:highlight w:val="none"/>
                      <w:lang w:val="en-US" w:eastAsia="zh-CN"/>
                    </w:rPr>
                    <w:t>密闭</w:t>
                  </w:r>
                  <w:r>
                    <w:rPr>
                      <w:rFonts w:hint="default" w:ascii="Times New Roman" w:hAnsi="Times New Roman" w:cs="Times New Roman"/>
                      <w:kern w:val="2"/>
                      <w:sz w:val="21"/>
                      <w:szCs w:val="21"/>
                      <w:highlight w:val="none"/>
                      <w:lang w:val="en-US" w:eastAsia="zh-CN"/>
                    </w:rPr>
                    <w:t>生产车间内，并配套集气罩收集</w:t>
                  </w:r>
                  <w:r>
                    <w:rPr>
                      <w:rFonts w:hint="eastAsia" w:ascii="Times New Roman" w:hAnsi="Times New Roman" w:cs="Times New Roman"/>
                      <w:kern w:val="2"/>
                      <w:sz w:val="21"/>
                      <w:szCs w:val="21"/>
                      <w:highlight w:val="none"/>
                      <w:lang w:val="en-US" w:eastAsia="zh-CN"/>
                    </w:rPr>
                    <w:t>。项目拟将溶剂油墨、UV油墨、清洗剂等原料储存在专用化学品仓库，使用后的废原料空桶加盖密闭后暂存于危废暂存间。有机废气经收集后由风机引至二级活性炭吸附装置，处理达标后排放。</w:t>
                  </w:r>
                </w:p>
              </w:tc>
              <w:tc>
                <w:tcPr>
                  <w:tcW w:w="365" w:type="pct"/>
                  <w:noWrap w:val="0"/>
                  <w:vAlign w:val="center"/>
                </w:tcPr>
                <w:p w14:paraId="7D76DCE8">
                  <w:pPr>
                    <w:widowControl w:val="0"/>
                    <w:spacing w:line="340" w:lineRule="exact"/>
                    <w:ind w:firstLine="0" w:firstLineChars="0"/>
                    <w:jc w:val="both"/>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75AFE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0" w:hRule="atLeast"/>
              </w:trPr>
              <w:tc>
                <w:tcPr>
                  <w:tcW w:w="515" w:type="pct"/>
                  <w:noWrap w:val="0"/>
                  <w:vAlign w:val="center"/>
                </w:tcPr>
                <w:p w14:paraId="17FBC94D">
                  <w:pPr>
                    <w:widowControl w:val="0"/>
                    <w:spacing w:line="340" w:lineRule="exact"/>
                    <w:ind w:firstLine="0" w:firstLineChars="0"/>
                    <w:jc w:val="both"/>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推进建设适宜高效的治污设施</w:t>
                  </w:r>
                </w:p>
              </w:tc>
              <w:tc>
                <w:tcPr>
                  <w:tcW w:w="2316" w:type="pct"/>
                  <w:noWrap w:val="0"/>
                  <w:vAlign w:val="center"/>
                </w:tcPr>
                <w:p w14:paraId="6A5A1C0F">
                  <w:pPr>
                    <w:pStyle w:val="22"/>
                    <w:spacing w:line="340" w:lineRule="exact"/>
                    <w:ind w:firstLine="0" w:firstLineChars="0"/>
                    <w:jc w:val="both"/>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企业新建治污设施或对现有治污设施实施改造，应依据排放废气的浓度、组分、风量，温度、湿度、压力，以及生产工况等，合理选择治理技术。实施废气分类收集处理。优先选用冷凝、吸附再生等回收技术；难以回收的，宜选用燃烧、吸附浓缩+燃烧等高效治理技术。水溶性、酸碱VOCs废气宜选用多级化学吸收等处理技术。恶臭类废气还应进一步加强除臭处理。</w:t>
                  </w:r>
                </w:p>
              </w:tc>
              <w:tc>
                <w:tcPr>
                  <w:tcW w:w="1802" w:type="pct"/>
                  <w:noWrap w:val="0"/>
                  <w:vAlign w:val="center"/>
                </w:tcPr>
                <w:p w14:paraId="6780790F">
                  <w:pPr>
                    <w:widowControl w:val="0"/>
                    <w:spacing w:line="340" w:lineRule="exact"/>
                    <w:ind w:firstLine="0" w:firstLineChars="0"/>
                    <w:jc w:val="both"/>
                    <w:rPr>
                      <w:rFonts w:hint="default" w:ascii="Times New Roman" w:hAnsi="Times New Roman" w:cs="Times New Roman"/>
                      <w:kern w:val="2"/>
                      <w:sz w:val="21"/>
                      <w:szCs w:val="21"/>
                      <w:highlight w:val="none"/>
                      <w:lang w:val="en-US" w:eastAsia="zh-CN"/>
                    </w:rPr>
                  </w:pPr>
                  <w:r>
                    <w:rPr>
                      <w:rFonts w:hint="default" w:ascii="Times New Roman" w:hAnsi="Times New Roman" w:cs="Times New Roman"/>
                      <w:kern w:val="2"/>
                      <w:sz w:val="21"/>
                      <w:szCs w:val="21"/>
                      <w:highlight w:val="none"/>
                      <w:lang w:val="en-US" w:eastAsia="zh-CN"/>
                    </w:rPr>
                    <w:t>本项目有机废气采用</w:t>
                  </w:r>
                  <w:r>
                    <w:rPr>
                      <w:rFonts w:hint="eastAsia" w:ascii="Times New Roman" w:hAnsi="Times New Roman" w:cs="Times New Roman"/>
                      <w:kern w:val="2"/>
                      <w:sz w:val="21"/>
                      <w:szCs w:val="21"/>
                      <w:highlight w:val="none"/>
                      <w:lang w:val="en-US" w:eastAsia="zh-CN"/>
                    </w:rPr>
                    <w:t>二级活性炭吸附装置</w:t>
                  </w:r>
                  <w:r>
                    <w:rPr>
                      <w:rFonts w:hint="default" w:ascii="Times New Roman" w:hAnsi="Times New Roman" w:cs="Times New Roman"/>
                      <w:kern w:val="2"/>
                      <w:sz w:val="21"/>
                      <w:szCs w:val="21"/>
                      <w:highlight w:val="none"/>
                      <w:lang w:val="en-US" w:eastAsia="zh-CN"/>
                    </w:rPr>
                    <w:t>处理</w:t>
                  </w:r>
                  <w:r>
                    <w:rPr>
                      <w:rFonts w:hint="eastAsia" w:ascii="Times New Roman" w:hAnsi="Times New Roman" w:cs="Times New Roman"/>
                      <w:kern w:val="2"/>
                      <w:sz w:val="21"/>
                      <w:szCs w:val="21"/>
                      <w:highlight w:val="none"/>
                      <w:lang w:val="en-US" w:eastAsia="zh-CN"/>
                    </w:rPr>
                    <w:t>，符合左侧涉及优先回收技术</w:t>
                  </w:r>
                  <w:r>
                    <w:rPr>
                      <w:rFonts w:hint="default" w:ascii="Times New Roman" w:hAnsi="Times New Roman" w:cs="Times New Roman"/>
                      <w:kern w:val="2"/>
                      <w:sz w:val="21"/>
                      <w:szCs w:val="21"/>
                      <w:highlight w:val="none"/>
                      <w:lang w:val="en-US" w:eastAsia="zh-CN"/>
                    </w:rPr>
                    <w:t>。</w:t>
                  </w:r>
                </w:p>
              </w:tc>
              <w:tc>
                <w:tcPr>
                  <w:tcW w:w="365" w:type="pct"/>
                  <w:noWrap w:val="0"/>
                  <w:vAlign w:val="center"/>
                </w:tcPr>
                <w:p w14:paraId="7DB66FBD">
                  <w:pPr>
                    <w:widowControl w:val="0"/>
                    <w:spacing w:line="340" w:lineRule="exact"/>
                    <w:ind w:firstLine="0" w:firstLineChars="0"/>
                    <w:jc w:val="both"/>
                    <w:rPr>
                      <w:rFonts w:hint="default" w:ascii="Times New Roman" w:hAnsi="Times New Roman" w:cs="Times New Roman"/>
                      <w:sz w:val="21"/>
                      <w:szCs w:val="21"/>
                      <w:highlight w:val="none"/>
                      <w:shd w:val="clear" w:color="auto" w:fill="FFFFFF"/>
                      <w:lang w:val="en-US" w:eastAsia="zh-CN"/>
                    </w:rPr>
                  </w:pPr>
                  <w:r>
                    <w:rPr>
                      <w:rFonts w:hint="eastAsia" w:ascii="Times New Roman" w:hAnsi="Times New Roman" w:cs="Times New Roman"/>
                      <w:sz w:val="21"/>
                      <w:szCs w:val="21"/>
                      <w:highlight w:val="none"/>
                      <w:shd w:val="clear" w:color="auto" w:fill="FFFFFF"/>
                      <w:lang w:val="en-US" w:eastAsia="zh-CN"/>
                    </w:rPr>
                    <w:t>符合</w:t>
                  </w:r>
                </w:p>
              </w:tc>
            </w:tr>
          </w:tbl>
          <w:p w14:paraId="29A2DE1A">
            <w:pPr>
              <w:numPr>
                <w:ilvl w:val="0"/>
                <w:numId w:val="0"/>
              </w:numPr>
              <w:spacing w:line="360" w:lineRule="auto"/>
              <w:jc w:val="left"/>
              <w:rPr>
                <w:rFonts w:hint="default" w:ascii="Times New Roman" w:hAnsi="Times New Roman" w:eastAsia="宋体" w:cs="Times New Roman"/>
                <w:highlight w:val="none"/>
              </w:rPr>
            </w:pPr>
            <w:r>
              <w:rPr>
                <w:rFonts w:hint="default" w:ascii="Times New Roman" w:hAnsi="Times New Roman" w:eastAsia="宋体" w:cs="Times New Roman"/>
                <w:b/>
                <w:bCs/>
                <w:sz w:val="24"/>
                <w:highlight w:val="none"/>
                <w:lang w:val="en-US" w:eastAsia="zh-CN"/>
              </w:rPr>
              <w:t>1.4.3 与《</w:t>
            </w:r>
            <w:r>
              <w:rPr>
                <w:rFonts w:hint="default" w:ascii="Times New Roman" w:hAnsi="Times New Roman" w:eastAsia="宋体" w:cs="Times New Roman"/>
                <w:b/>
                <w:bCs/>
                <w:sz w:val="24"/>
                <w:highlight w:val="none"/>
              </w:rPr>
              <w:t>福建省2020年挥发性有机物治理攻坚实施方案》</w:t>
            </w:r>
            <w:bookmarkStart w:id="1" w:name="whcode"/>
            <w:r>
              <w:rPr>
                <w:rFonts w:hint="default" w:ascii="Times New Roman" w:hAnsi="Times New Roman" w:eastAsia="宋体" w:cs="Times New Roman"/>
                <w:b/>
                <w:bCs/>
                <w:sz w:val="24"/>
                <w:highlight w:val="none"/>
              </w:rPr>
              <w:t>闽环保大气〔2020〕6号</w:t>
            </w:r>
            <w:bookmarkEnd w:id="1"/>
            <w:r>
              <w:rPr>
                <w:rFonts w:hint="default" w:ascii="Times New Roman" w:hAnsi="Times New Roman" w:eastAsia="宋体" w:cs="Times New Roman"/>
                <w:b/>
                <w:bCs/>
                <w:sz w:val="24"/>
                <w:highlight w:val="none"/>
              </w:rPr>
              <w:t>符合性分析</w:t>
            </w:r>
          </w:p>
          <w:p w14:paraId="7A250600">
            <w:pPr>
              <w:numPr>
                <w:ilvl w:val="0"/>
                <w:numId w:val="0"/>
              </w:numPr>
              <w:spacing w:line="360" w:lineRule="auto"/>
              <w:ind w:firstLine="480" w:firstLineChars="200"/>
              <w:jc w:val="left"/>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本项目与《福建省2020年挥发性有机物治理攻坚实施方案》闽环保大气〔2020〕6号符合性分析</w:t>
            </w:r>
            <w:r>
              <w:rPr>
                <w:rFonts w:hint="default" w:ascii="Times New Roman" w:hAnsi="Times New Roman" w:eastAsia="宋体" w:cs="Times New Roman"/>
                <w:sz w:val="24"/>
                <w:szCs w:val="24"/>
                <w:highlight w:val="none"/>
              </w:rPr>
              <w:t>详见表1</w:t>
            </w:r>
            <w:r>
              <w:rPr>
                <w:rFonts w:hint="eastAsia" w:ascii="Times New Roman" w:hAnsi="Times New Roman" w:eastAsia="宋体" w:cs="Times New Roman"/>
                <w:sz w:val="24"/>
                <w:szCs w:val="24"/>
                <w:highlight w:val="none"/>
                <w:lang w:val="en-US" w:eastAsia="zh-CN"/>
              </w:rPr>
              <w:t>.4-3</w:t>
            </w:r>
            <w:r>
              <w:rPr>
                <w:rFonts w:hint="default" w:ascii="Times New Roman" w:hAnsi="Times New Roman" w:eastAsia="宋体" w:cs="Times New Roman"/>
                <w:sz w:val="24"/>
                <w:szCs w:val="24"/>
                <w:highlight w:val="none"/>
                <w:lang w:val="en-US" w:eastAsia="zh-CN"/>
              </w:rPr>
              <w:t>。</w:t>
            </w:r>
          </w:p>
          <w:p w14:paraId="5CB14421">
            <w:pPr>
              <w:spacing w:before="120" w:beforeLines="50" w:line="360" w:lineRule="auto"/>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val="en-US" w:eastAsia="zh-CN"/>
              </w:rPr>
              <w:t>表1</w:t>
            </w:r>
            <w:r>
              <w:rPr>
                <w:rFonts w:hint="eastAsia" w:ascii="Times New Roman" w:hAnsi="Times New Roman" w:eastAsia="宋体" w:cs="Times New Roman"/>
                <w:b/>
                <w:bCs/>
                <w:sz w:val="24"/>
                <w:szCs w:val="24"/>
                <w:highlight w:val="none"/>
                <w:lang w:val="en-US" w:eastAsia="zh-CN"/>
              </w:rPr>
              <w:t>.4-3</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与《福建省2020年挥发性有机物治理攻坚实施方案》闽环保大气〔2020〕6号符合性分析</w:t>
            </w:r>
          </w:p>
          <w:tbl>
            <w:tblPr>
              <w:tblStyle w:val="1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3064"/>
              <w:gridCol w:w="2811"/>
              <w:gridCol w:w="457"/>
            </w:tblGrid>
            <w:tr w14:paraId="59DED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1" w:type="pct"/>
                  <w:noWrap w:val="0"/>
                  <w:vAlign w:val="center"/>
                </w:tcPr>
                <w:p w14:paraId="570A296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2084" w:type="pct"/>
                  <w:noWrap w:val="0"/>
                  <w:vAlign w:val="center"/>
                </w:tcPr>
                <w:p w14:paraId="354C1925">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判断依据</w:t>
                  </w:r>
                </w:p>
              </w:tc>
              <w:tc>
                <w:tcPr>
                  <w:tcW w:w="1912" w:type="pct"/>
                  <w:noWrap w:val="0"/>
                  <w:vAlign w:val="center"/>
                </w:tcPr>
                <w:p w14:paraId="239D382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本项目情况</w:t>
                  </w:r>
                </w:p>
              </w:tc>
              <w:tc>
                <w:tcPr>
                  <w:tcW w:w="310" w:type="pct"/>
                  <w:noWrap w:val="0"/>
                  <w:vAlign w:val="center"/>
                </w:tcPr>
                <w:p w14:paraId="561DE3B4">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w:t>
                  </w:r>
                </w:p>
              </w:tc>
            </w:tr>
            <w:tr w14:paraId="1E0AE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1" w:type="pct"/>
                  <w:noWrap w:val="0"/>
                  <w:vAlign w:val="center"/>
                </w:tcPr>
                <w:p w14:paraId="1F2FE752">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大力推进源头替代，有</w:t>
                  </w:r>
                  <w:r>
                    <w:rPr>
                      <w:rFonts w:hint="eastAsia" w:ascii="Times New Roman" w:hAnsi="Times New Roman" w:eastAsia="宋体" w:cs="Times New Roman"/>
                      <w:color w:val="auto"/>
                      <w:sz w:val="21"/>
                      <w:szCs w:val="21"/>
                      <w:highlight w:val="none"/>
                      <w:shd w:val="clear" w:color="auto" w:fill="FFFFFF"/>
                      <w:lang w:eastAsia="zh-CN"/>
                    </w:rPr>
                    <w:t>效减</w:t>
                  </w:r>
                  <w:r>
                    <w:rPr>
                      <w:rFonts w:hint="default" w:ascii="Times New Roman" w:hAnsi="Times New Roman" w:eastAsia="宋体" w:cs="Times New Roman"/>
                      <w:color w:val="auto"/>
                      <w:sz w:val="21"/>
                      <w:szCs w:val="21"/>
                      <w:highlight w:val="none"/>
                      <w:shd w:val="clear" w:color="auto" w:fill="FFFFFF"/>
                    </w:rPr>
                    <w:t>少VOCs产生</w:t>
                  </w:r>
                </w:p>
              </w:tc>
              <w:tc>
                <w:tcPr>
                  <w:tcW w:w="2084" w:type="pct"/>
                  <w:noWrap w:val="0"/>
                  <w:vAlign w:val="center"/>
                </w:tcPr>
                <w:p w14:paraId="66522814">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大力推进低（无）VOCs含量原辅材料替代。将全面使用符合国家要求的低VOCs含量原辅材料的企业纳入正面清单和政府绿色采购清单。</w:t>
                  </w:r>
                </w:p>
                <w:p w14:paraId="1E4AE509">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企业应建立原辅材料台账，记录VOCs原辅材料名称、成分、VOCs含量、采购量、使用量、库存量、回收方式、回收量等信息，并保存相关证明材料。严格落实国家和地方产品VOCs含量限值标准。</w:t>
                  </w:r>
                </w:p>
              </w:tc>
              <w:tc>
                <w:tcPr>
                  <w:tcW w:w="1912" w:type="pct"/>
                  <w:noWrap w:val="0"/>
                  <w:vAlign w:val="center"/>
                </w:tcPr>
                <w:p w14:paraId="27696D1E">
                  <w:pPr>
                    <w:pStyle w:val="15"/>
                    <w:keepNext w:val="0"/>
                    <w:keepLines w:val="0"/>
                    <w:pageBreakBefore w:val="0"/>
                    <w:kinsoku/>
                    <w:wordWrap/>
                    <w:overflowPunct/>
                    <w:topLinePunct w:val="0"/>
                    <w:autoSpaceDE/>
                    <w:autoSpaceDN/>
                    <w:bidi w:val="0"/>
                    <w:adjustRightInd/>
                    <w:spacing w:line="340" w:lineRule="exact"/>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lang w:val="en-US" w:eastAsia="zh-CN"/>
                    </w:rPr>
                    <w:t>企业使用涉及产生VOCs原料</w:t>
                  </w:r>
                  <w:r>
                    <w:rPr>
                      <w:rFonts w:hint="eastAsia" w:ascii="Times New Roman" w:hAnsi="Times New Roman" w:eastAsia="宋体" w:cs="Times New Roman"/>
                      <w:color w:val="auto"/>
                      <w:sz w:val="21"/>
                      <w:szCs w:val="21"/>
                      <w:highlight w:val="none"/>
                      <w:shd w:val="clear" w:color="auto" w:fill="FFFFFF"/>
                      <w:lang w:val="en-US" w:eastAsia="zh-CN"/>
                    </w:rPr>
                    <w:t>主要</w:t>
                  </w:r>
                  <w:r>
                    <w:rPr>
                      <w:rFonts w:hint="default" w:ascii="Times New Roman" w:hAnsi="Times New Roman" w:eastAsia="宋体" w:cs="Times New Roman"/>
                      <w:color w:val="auto"/>
                      <w:sz w:val="21"/>
                      <w:szCs w:val="21"/>
                      <w:highlight w:val="none"/>
                      <w:shd w:val="clear" w:color="auto" w:fill="FFFFFF"/>
                      <w:lang w:val="en-US" w:eastAsia="zh-CN"/>
                    </w:rPr>
                    <w:t>为UV油墨。</w:t>
                  </w:r>
                  <w:r>
                    <w:rPr>
                      <w:rFonts w:hint="eastAsia" w:ascii="Times New Roman" w:hAnsi="Times New Roman" w:eastAsia="宋体" w:cs="Times New Roman"/>
                      <w:color w:val="auto"/>
                      <w:sz w:val="21"/>
                      <w:szCs w:val="21"/>
                      <w:highlight w:val="none"/>
                      <w:shd w:val="clear" w:color="auto" w:fill="FFFFFF"/>
                      <w:lang w:val="en-US" w:eastAsia="zh-CN"/>
                    </w:rPr>
                    <w:t>项目所</w:t>
                  </w:r>
                  <w:r>
                    <w:rPr>
                      <w:rFonts w:hint="default" w:ascii="Times New Roman" w:hAnsi="Times New Roman" w:eastAsia="宋体" w:cs="Times New Roman"/>
                      <w:color w:val="auto"/>
                      <w:sz w:val="21"/>
                      <w:szCs w:val="21"/>
                      <w:highlight w:val="none"/>
                      <w:shd w:val="clear" w:color="auto" w:fill="FFFFFF"/>
                      <w:lang w:val="en-US" w:eastAsia="zh-CN"/>
                    </w:rPr>
                    <w:t>用UV油墨</w:t>
                  </w:r>
                  <w:r>
                    <w:rPr>
                      <w:rFonts w:hint="eastAsia" w:ascii="Times New Roman" w:hAnsi="Times New Roman" w:eastAsia="宋体" w:cs="Times New Roman"/>
                      <w:color w:val="auto"/>
                      <w:sz w:val="21"/>
                      <w:szCs w:val="21"/>
                      <w:highlight w:val="none"/>
                      <w:shd w:val="clear" w:color="auto" w:fill="FFFFFF"/>
                      <w:lang w:val="en-US" w:eastAsia="zh-CN"/>
                    </w:rPr>
                    <w:t>为</w:t>
                  </w:r>
                  <w:r>
                    <w:rPr>
                      <w:rFonts w:hint="default" w:ascii="Times New Roman" w:hAnsi="Times New Roman" w:eastAsia="宋体" w:cs="Times New Roman"/>
                      <w:color w:val="auto"/>
                      <w:sz w:val="21"/>
                      <w:szCs w:val="21"/>
                      <w:highlight w:val="none"/>
                    </w:rPr>
                    <w:t>低（无）VOCs含量原辅材料</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详见4.2.1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shd w:val="clear" w:color="auto" w:fill="FFFFFF"/>
                      <w:lang w:val="en-US" w:eastAsia="zh-CN"/>
                    </w:rPr>
                    <w:t>，符合低VOCs含量要求。</w:t>
                  </w:r>
                  <w:r>
                    <w:rPr>
                      <w:rFonts w:hint="eastAsia" w:ascii="Times New Roman" w:hAnsi="Times New Roman" w:eastAsia="宋体" w:cs="Times New Roman"/>
                      <w:color w:val="auto"/>
                      <w:sz w:val="21"/>
                      <w:szCs w:val="21"/>
                      <w:highlight w:val="none"/>
                      <w:shd w:val="clear" w:color="auto" w:fill="FFFFFF"/>
                      <w:lang w:val="en-US" w:eastAsia="zh-CN"/>
                    </w:rPr>
                    <w:t>本项目</w:t>
                  </w:r>
                  <w:r>
                    <w:rPr>
                      <w:rFonts w:hint="default" w:ascii="Times New Roman" w:hAnsi="Times New Roman" w:eastAsia="宋体" w:cs="Times New Roman"/>
                      <w:color w:val="auto"/>
                      <w:sz w:val="21"/>
                      <w:szCs w:val="21"/>
                      <w:highlight w:val="none"/>
                      <w:shd w:val="clear" w:color="auto" w:fill="FFFFFF"/>
                      <w:lang w:val="en-US" w:eastAsia="zh-CN"/>
                    </w:rPr>
                    <w:t>要求企业生产后建立原辅材料台账，</w:t>
                  </w:r>
                  <w:r>
                    <w:rPr>
                      <w:rFonts w:hint="eastAsia" w:ascii="Times New Roman" w:hAnsi="Times New Roman" w:eastAsia="宋体" w:cs="Times New Roman"/>
                      <w:color w:val="auto"/>
                      <w:sz w:val="21"/>
                      <w:szCs w:val="21"/>
                      <w:highlight w:val="none"/>
                      <w:shd w:val="clear" w:color="auto" w:fill="FFFFFF"/>
                      <w:lang w:val="en-US" w:eastAsia="zh-CN"/>
                    </w:rPr>
                    <w:t>以</w:t>
                  </w:r>
                  <w:r>
                    <w:rPr>
                      <w:rFonts w:hint="default" w:ascii="Times New Roman" w:hAnsi="Times New Roman" w:eastAsia="宋体" w:cs="Times New Roman"/>
                      <w:color w:val="auto"/>
                      <w:sz w:val="21"/>
                      <w:szCs w:val="21"/>
                      <w:highlight w:val="none"/>
                      <w:shd w:val="clear" w:color="auto" w:fill="FFFFFF"/>
                      <w:lang w:val="en-US" w:eastAsia="zh-CN"/>
                    </w:rPr>
                    <w:t>记录VOCs原辅材料名称、成分、采购量、使用量、库存量、回收方式、回收量等信息，并保存相关证明材料。</w:t>
                  </w:r>
                </w:p>
              </w:tc>
              <w:tc>
                <w:tcPr>
                  <w:tcW w:w="310" w:type="pct"/>
                  <w:noWrap w:val="0"/>
                  <w:vAlign w:val="center"/>
                </w:tcPr>
                <w:p w14:paraId="015B2202">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8B9C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1" w:type="pct"/>
                  <w:noWrap w:val="0"/>
                  <w:vAlign w:val="center"/>
                </w:tcPr>
                <w:p w14:paraId="0376EA1E">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全面落实标准要求，强化无组织排放控制</w:t>
                  </w:r>
                </w:p>
              </w:tc>
              <w:tc>
                <w:tcPr>
                  <w:tcW w:w="2084" w:type="pct"/>
                  <w:noWrap w:val="0"/>
                  <w:vAlign w:val="center"/>
                </w:tcPr>
                <w:p w14:paraId="0BF8CD3B">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集中清运，交有资质的单位处置，不得随意丢弃；处置单位在贮存、清洗、破碎等环节应按要求对VOCs无组织排放废气进行收集、处理。高VOCs含量废水的集输、储存和处理环节，应加盖密闭。按时对盛装过VOCs物料的包装容器、含VOCs废料（渣、液）、废吸附剂等集中清运一次，交有资质的单位处置。</w:t>
                  </w:r>
                </w:p>
              </w:tc>
              <w:tc>
                <w:tcPr>
                  <w:tcW w:w="1912" w:type="pct"/>
                  <w:noWrap w:val="0"/>
                  <w:vAlign w:val="center"/>
                </w:tcPr>
                <w:p w14:paraId="2942A487">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企业对生产过程中产生的有机废气</w:t>
                  </w:r>
                  <w:r>
                    <w:rPr>
                      <w:rFonts w:hint="eastAsia" w:ascii="Times New Roman" w:hAnsi="Times New Roman" w:eastAsia="宋体" w:cs="Times New Roman"/>
                      <w:color w:val="auto"/>
                      <w:kern w:val="0"/>
                      <w:sz w:val="21"/>
                      <w:szCs w:val="21"/>
                      <w:highlight w:val="none"/>
                      <w:lang w:val="en-US" w:eastAsia="zh-CN" w:bidi="ar"/>
                    </w:rPr>
                    <w:t>通过集气罩收集</w:t>
                  </w:r>
                  <w:r>
                    <w:rPr>
                      <w:rFonts w:hint="default" w:ascii="Times New Roman" w:hAnsi="Times New Roman" w:eastAsia="宋体" w:cs="Times New Roman"/>
                      <w:color w:val="auto"/>
                      <w:kern w:val="0"/>
                      <w:sz w:val="21"/>
                      <w:szCs w:val="21"/>
                      <w:highlight w:val="none"/>
                      <w:lang w:val="en-US" w:eastAsia="zh-CN" w:bidi="ar"/>
                    </w:rPr>
                    <w:t>，废气收集后采用</w:t>
                  </w:r>
                  <w:r>
                    <w:rPr>
                      <w:rFonts w:hint="eastAsia" w:ascii="Times New Roman" w:hAnsi="Times New Roman" w:eastAsia="宋体" w:cs="Times New Roman"/>
                      <w:color w:val="auto"/>
                      <w:kern w:val="0"/>
                      <w:sz w:val="21"/>
                      <w:szCs w:val="21"/>
                      <w:highlight w:val="none"/>
                      <w:lang w:val="en-US" w:eastAsia="zh-CN" w:bidi="ar"/>
                    </w:rPr>
                    <w:t>二级活性炭吸附装置</w:t>
                  </w:r>
                  <w:r>
                    <w:rPr>
                      <w:rFonts w:hint="default" w:ascii="Times New Roman" w:hAnsi="Times New Roman" w:eastAsia="宋体" w:cs="Times New Roman"/>
                      <w:color w:val="auto"/>
                      <w:kern w:val="0"/>
                      <w:sz w:val="21"/>
                      <w:szCs w:val="21"/>
                      <w:highlight w:val="none"/>
                      <w:lang w:val="en-US" w:eastAsia="zh-CN" w:bidi="ar"/>
                    </w:rPr>
                    <w:t>处理后排放</w:t>
                  </w:r>
                  <w:r>
                    <w:rPr>
                      <w:rFonts w:hint="eastAsia" w:ascii="Times New Roman" w:hAnsi="Times New Roman" w:eastAsia="宋体" w:cs="Times New Roman"/>
                      <w:color w:val="auto"/>
                      <w:kern w:val="0"/>
                      <w:sz w:val="21"/>
                      <w:szCs w:val="21"/>
                      <w:highlight w:val="none"/>
                      <w:lang w:val="en-US" w:eastAsia="zh-CN" w:bidi="ar"/>
                    </w:rPr>
                    <w:t>。</w:t>
                  </w:r>
                </w:p>
              </w:tc>
              <w:tc>
                <w:tcPr>
                  <w:tcW w:w="310" w:type="pct"/>
                  <w:noWrap w:val="0"/>
                  <w:vAlign w:val="center"/>
                </w:tcPr>
                <w:p w14:paraId="5B232465">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B538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91" w:type="pct"/>
                  <w:vMerge w:val="restart"/>
                  <w:noWrap w:val="0"/>
                  <w:vAlign w:val="center"/>
                </w:tcPr>
                <w:p w14:paraId="0C6B11F3">
                  <w:pPr>
                    <w:keepNext w:val="0"/>
                    <w:keepLines w:val="0"/>
                    <w:pageBreakBefore w:val="0"/>
                    <w:kinsoku/>
                    <w:wordWrap/>
                    <w:overflowPunct/>
                    <w:topLinePunct w:val="0"/>
                    <w:autoSpaceDE/>
                    <w:autoSpaceDN/>
                    <w:bidi w:val="0"/>
                    <w:adjustRightInd/>
                    <w:spacing w:line="340" w:lineRule="exact"/>
                    <w:jc w:val="both"/>
                    <w:textAlignment w:val="auto"/>
                    <w:rPr>
                      <w:rFonts w:hint="eastAsia"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eastAsia="宋体" w:cs="Times New Roman"/>
                      <w:color w:val="auto"/>
                      <w:sz w:val="21"/>
                      <w:szCs w:val="21"/>
                      <w:highlight w:val="none"/>
                      <w:shd w:val="clear" w:color="auto" w:fill="FFFFFF"/>
                    </w:rPr>
                    <w:t>聚焦治污设施</w:t>
                  </w:r>
                  <w:r>
                    <w:rPr>
                      <w:rFonts w:hint="eastAsia"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shd w:val="clear" w:color="auto" w:fill="FFFFFF"/>
                    </w:rPr>
                    <w:t>三率</w:t>
                  </w:r>
                  <w:r>
                    <w:rPr>
                      <w:rFonts w:hint="eastAsia" w:ascii="Times New Roman" w:hAnsi="Times New Roman" w:eastAsia="宋体" w:cs="Times New Roman"/>
                      <w:color w:val="auto"/>
                      <w:sz w:val="21"/>
                      <w:szCs w:val="21"/>
                      <w:highlight w:val="none"/>
                      <w:shd w:val="clear" w:color="auto" w:fill="FFFFFF"/>
                      <w:lang w:eastAsia="zh-CN"/>
                    </w:rPr>
                    <w:t>”</w:t>
                  </w:r>
                </w:p>
              </w:tc>
              <w:tc>
                <w:tcPr>
                  <w:tcW w:w="2084" w:type="pct"/>
                  <w:noWrap w:val="0"/>
                  <w:vAlign w:val="center"/>
                </w:tcPr>
                <w:p w14:paraId="17A3EF94">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按照规定期限组织企业对现有VOCs废气收集率、治理设施同步运行率和去除率开展自查，重点关注单一采用光氧化、光催化、低温等离子、一次性活性炭吸附、喷淋吸收等工艺的治理设施。对达不到要求的VOCs收集、治理设施进行更换或升级改造，确保实现达标排放。除恶臭异味治理外，一般不采用低温等离子、光催化、光氧化等技术。</w:t>
                  </w:r>
                </w:p>
              </w:tc>
              <w:tc>
                <w:tcPr>
                  <w:tcW w:w="1912" w:type="pct"/>
                  <w:noWrap w:val="0"/>
                  <w:vAlign w:val="center"/>
                </w:tcPr>
                <w:p w14:paraId="7464EF98">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项目采用二级活性炭吸附装置处理有机废气，其废气收集率、治理设施同步运行率、去除率能够符合相关要求。</w:t>
                  </w:r>
                </w:p>
              </w:tc>
              <w:tc>
                <w:tcPr>
                  <w:tcW w:w="310" w:type="pct"/>
                  <w:noWrap w:val="0"/>
                  <w:vAlign w:val="center"/>
                </w:tcPr>
                <w:p w14:paraId="2AA841DC">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449D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91" w:type="pct"/>
                  <w:vMerge w:val="continue"/>
                  <w:noWrap w:val="0"/>
                  <w:vAlign w:val="center"/>
                </w:tcPr>
                <w:p w14:paraId="764DD312">
                  <w:pPr>
                    <w:keepNext w:val="0"/>
                    <w:keepLines w:val="0"/>
                    <w:pageBreakBefore w:val="0"/>
                    <w:kinsoku/>
                    <w:wordWrap/>
                    <w:overflowPunct/>
                    <w:topLinePunct w:val="0"/>
                    <w:autoSpaceDE/>
                    <w:autoSpaceDN/>
                    <w:bidi w:val="0"/>
                    <w:adjustRightInd/>
                    <w:spacing w:line="340" w:lineRule="exact"/>
                    <w:jc w:val="both"/>
                    <w:textAlignment w:val="auto"/>
                    <w:rPr>
                      <w:highlight w:val="none"/>
                    </w:rPr>
                  </w:pPr>
                </w:p>
              </w:tc>
              <w:tc>
                <w:tcPr>
                  <w:tcW w:w="2084" w:type="pct"/>
                  <w:noWrap w:val="0"/>
                  <w:vAlign w:val="center"/>
                </w:tcPr>
                <w:p w14:paraId="00DC0E0B">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912" w:type="pct"/>
                  <w:noWrap w:val="0"/>
                  <w:vAlign w:val="center"/>
                </w:tcPr>
                <w:p w14:paraId="624500B3">
                  <w:pPr>
                    <w:keepNext w:val="0"/>
                    <w:keepLines w:val="0"/>
                    <w:pageBreakBefore w:val="0"/>
                    <w:kinsoku/>
                    <w:wordWrap/>
                    <w:overflowPunct/>
                    <w:topLinePunct w:val="0"/>
                    <w:autoSpaceDE/>
                    <w:autoSpaceDN/>
                    <w:bidi w:val="0"/>
                    <w:adjustRightInd/>
                    <w:spacing w:line="340" w:lineRule="exact"/>
                    <w:jc w:val="left"/>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项目大气污染物排放遵守</w:t>
                  </w:r>
                  <w:r>
                    <w:rPr>
                      <w:rFonts w:hint="default" w:ascii="Times New Roman" w:hAnsi="Times New Roman" w:cs="Times New Roman"/>
                      <w:color w:val="auto"/>
                      <w:highlight w:val="none"/>
                    </w:rPr>
                    <w:t>《印刷行业挥发性有机物排放标准》</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DB35/1784-2018</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相关限值标准。</w:t>
                  </w:r>
                </w:p>
              </w:tc>
              <w:tc>
                <w:tcPr>
                  <w:tcW w:w="310" w:type="pct"/>
                  <w:shd w:val="clear" w:color="auto" w:fill="auto"/>
                  <w:noWrap w:val="0"/>
                  <w:vAlign w:val="center"/>
                </w:tcPr>
                <w:p w14:paraId="33463A55">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3A490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691" w:type="pct"/>
                  <w:vMerge w:val="continue"/>
                  <w:noWrap w:val="0"/>
                  <w:vAlign w:val="center"/>
                </w:tcPr>
                <w:p w14:paraId="30EAF747">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p>
              </w:tc>
              <w:tc>
                <w:tcPr>
                  <w:tcW w:w="2084" w:type="pct"/>
                  <w:noWrap w:val="0"/>
                  <w:vAlign w:val="center"/>
                </w:tcPr>
                <w:p w14:paraId="023D0F14">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应收尽收</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w:t>
                  </w:r>
                </w:p>
              </w:tc>
              <w:tc>
                <w:tcPr>
                  <w:tcW w:w="1912" w:type="pct"/>
                  <w:noWrap w:val="0"/>
                  <w:vAlign w:val="center"/>
                </w:tcPr>
                <w:p w14:paraId="60151302">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项目印刷车间及高温机采取车间全密闭负压收集，废气收集率可达80%，不存在废气排放系统旁路。</w:t>
                  </w:r>
                </w:p>
              </w:tc>
              <w:tc>
                <w:tcPr>
                  <w:tcW w:w="310" w:type="pct"/>
                  <w:shd w:val="clear" w:color="auto" w:fill="auto"/>
                  <w:noWrap w:val="0"/>
                  <w:vAlign w:val="center"/>
                </w:tcPr>
                <w:p w14:paraId="67028F18">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37DFB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91" w:type="pct"/>
                  <w:vMerge w:val="continue"/>
                  <w:noWrap w:val="0"/>
                  <w:vAlign w:val="center"/>
                </w:tcPr>
                <w:p w14:paraId="27ED0CA9">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p>
              </w:tc>
              <w:tc>
                <w:tcPr>
                  <w:tcW w:w="2084" w:type="pct"/>
                  <w:noWrap w:val="0"/>
                  <w:vAlign w:val="center"/>
                </w:tcPr>
                <w:p w14:paraId="5A44E6FD">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1912" w:type="pct"/>
                  <w:noWrap w:val="0"/>
                  <w:vAlign w:val="center"/>
                </w:tcPr>
                <w:p w14:paraId="18D48880">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项目所有产生VOCs的工艺步骤均在密闭设备中进行，集气罩风速为</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米/秒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符合相关要求。</w:t>
                  </w:r>
                </w:p>
              </w:tc>
              <w:tc>
                <w:tcPr>
                  <w:tcW w:w="310" w:type="pct"/>
                  <w:shd w:val="clear" w:color="auto" w:fill="auto"/>
                  <w:noWrap w:val="0"/>
                  <w:vAlign w:val="center"/>
                </w:tcPr>
                <w:p w14:paraId="394B7841">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710FC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91" w:type="pct"/>
                  <w:vMerge w:val="continue"/>
                  <w:noWrap w:val="0"/>
                  <w:vAlign w:val="center"/>
                </w:tcPr>
                <w:p w14:paraId="162597EA">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p>
              </w:tc>
              <w:tc>
                <w:tcPr>
                  <w:tcW w:w="2084" w:type="pct"/>
                  <w:noWrap w:val="0"/>
                  <w:vAlign w:val="center"/>
                </w:tcPr>
                <w:p w14:paraId="3197BC0F">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按照与生产设备</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同启同停</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912" w:type="pct"/>
                  <w:noWrap w:val="0"/>
                  <w:vAlign w:val="center"/>
                </w:tcPr>
                <w:p w14:paraId="49EA737C">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项目废气处理设施与生产设备</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同启同停</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，废气收集处理系统发生故障或检修时，对应的生产工艺设备停止运行。</w:t>
                  </w:r>
                </w:p>
              </w:tc>
              <w:tc>
                <w:tcPr>
                  <w:tcW w:w="310" w:type="pct"/>
                  <w:shd w:val="clear" w:color="auto" w:fill="auto"/>
                  <w:noWrap w:val="0"/>
                  <w:vAlign w:val="center"/>
                </w:tcPr>
                <w:p w14:paraId="0B89DFEC">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r w14:paraId="1A91A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691" w:type="pct"/>
                  <w:vMerge w:val="continue"/>
                  <w:noWrap w:val="0"/>
                  <w:vAlign w:val="center"/>
                </w:tcPr>
                <w:p w14:paraId="715CADAC">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p>
              </w:tc>
              <w:tc>
                <w:tcPr>
                  <w:tcW w:w="2084" w:type="pct"/>
                  <w:noWrap w:val="0"/>
                  <w:vAlign w:val="center"/>
                </w:tcPr>
                <w:p w14:paraId="373AC693">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按照</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适宜高效</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各地要督促行政区域内采用一次性活性炭吸附技术的企业按期更换活性炭，对于长期未进行更换的，于8月底前全部更换一次，并将废旧活性炭交有资质的单位处理处置，记录更换时间和使用量。</w:t>
                  </w:r>
                </w:p>
              </w:tc>
              <w:tc>
                <w:tcPr>
                  <w:tcW w:w="1912" w:type="pct"/>
                  <w:noWrap w:val="0"/>
                  <w:vAlign w:val="center"/>
                </w:tcPr>
                <w:p w14:paraId="1FAEC331">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企业生产车间为洁净车间，废气通过</w:t>
                  </w:r>
                  <w:r>
                    <w:rPr>
                      <w:rFonts w:hint="eastAsia"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有效收集。企业采用活性炭吸附，选择碘值不低于800毫克/克的活性炭，并按设计要求足量添加、及时更换</w:t>
                  </w:r>
                  <w:r>
                    <w:rPr>
                      <w:rFonts w:hint="eastAsia" w:ascii="Times New Roman" w:hAnsi="Times New Roman" w:eastAsia="宋体" w:cs="Times New Roman"/>
                      <w:color w:val="auto"/>
                      <w:sz w:val="21"/>
                      <w:szCs w:val="21"/>
                      <w:highlight w:val="none"/>
                      <w:lang w:eastAsia="zh-CN"/>
                    </w:rPr>
                    <w:t>。</w:t>
                  </w:r>
                </w:p>
              </w:tc>
              <w:tc>
                <w:tcPr>
                  <w:tcW w:w="310" w:type="pct"/>
                  <w:shd w:val="clear" w:color="auto" w:fill="auto"/>
                  <w:noWrap w:val="0"/>
                  <w:vAlign w:val="center"/>
                </w:tcPr>
                <w:p w14:paraId="3A7CF2D1">
                  <w:pPr>
                    <w:keepNext w:val="0"/>
                    <w:keepLines w:val="0"/>
                    <w:pageBreakBefore w:val="0"/>
                    <w:kinsoku/>
                    <w:wordWrap/>
                    <w:overflowPunct/>
                    <w:topLinePunct w:val="0"/>
                    <w:autoSpaceDE/>
                    <w:autoSpaceDN/>
                    <w:bidi w:val="0"/>
                    <w:adjustRightInd/>
                    <w:spacing w:line="340" w:lineRule="exact"/>
                    <w:jc w:val="both"/>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符合</w:t>
                  </w:r>
                </w:p>
              </w:tc>
            </w:tr>
          </w:tbl>
          <w:p w14:paraId="01833C8E">
            <w:pPr>
              <w:numPr>
                <w:ilvl w:val="0"/>
                <w:numId w:val="0"/>
              </w:numPr>
              <w:spacing w:line="360" w:lineRule="auto"/>
              <w:jc w:val="left"/>
              <w:rPr>
                <w:rFonts w:hint="default" w:ascii="Times New Roman" w:hAnsi="Times New Roman" w:cs="Times New Roman"/>
                <w:b/>
                <w:bCs/>
                <w:highlight w:val="none"/>
              </w:rPr>
            </w:pPr>
            <w:r>
              <w:rPr>
                <w:rFonts w:hint="default" w:ascii="Times New Roman" w:hAnsi="Times New Roman" w:eastAsia="宋体" w:cs="Times New Roman"/>
                <w:b/>
                <w:bCs/>
                <w:color w:val="000000"/>
                <w:kern w:val="0"/>
                <w:sz w:val="24"/>
                <w:szCs w:val="24"/>
                <w:highlight w:val="none"/>
                <w:lang w:val="en-US" w:eastAsia="zh-CN" w:bidi="ar"/>
              </w:rPr>
              <w:t xml:space="preserve">1.4.4 </w:t>
            </w:r>
            <w:r>
              <w:rPr>
                <w:rFonts w:hint="default" w:ascii="Times New Roman" w:hAnsi="Times New Roman" w:eastAsia="宋体" w:cs="Times New Roman"/>
                <w:b/>
                <w:bCs/>
                <w:color w:val="000000"/>
                <w:kern w:val="0"/>
                <w:sz w:val="24"/>
                <w:highlight w:val="none"/>
                <w:lang w:val="en-US" w:eastAsia="zh-CN" w:bidi="ar"/>
              </w:rPr>
              <w:t>与《挥发性有机物无组织排放控制标准》（</w:t>
            </w:r>
            <w:r>
              <w:rPr>
                <w:rFonts w:hint="eastAsia" w:ascii="Times New Roman" w:hAnsi="Times New Roman" w:eastAsia="宋体" w:cs="Times New Roman"/>
                <w:b/>
                <w:bCs/>
                <w:color w:val="000000"/>
                <w:kern w:val="0"/>
                <w:sz w:val="24"/>
                <w:highlight w:val="none"/>
                <w:lang w:val="en-US" w:eastAsia="zh-CN" w:bidi="ar"/>
              </w:rPr>
              <w:t>GB 37822-2019</w:t>
            </w:r>
            <w:r>
              <w:rPr>
                <w:rFonts w:hint="default" w:ascii="Times New Roman" w:hAnsi="Times New Roman" w:eastAsia="宋体" w:cs="Times New Roman"/>
                <w:b/>
                <w:bCs/>
                <w:color w:val="000000"/>
                <w:kern w:val="0"/>
                <w:sz w:val="24"/>
                <w:highlight w:val="none"/>
                <w:lang w:val="en-US" w:eastAsia="zh-CN" w:bidi="ar"/>
              </w:rPr>
              <w:t>）</w:t>
            </w:r>
            <w:r>
              <w:rPr>
                <w:rFonts w:hint="default" w:ascii="Times New Roman" w:hAnsi="Times New Roman" w:eastAsia="宋体" w:cs="Times New Roman"/>
                <w:b/>
                <w:bCs/>
                <w:color w:val="000000"/>
                <w:kern w:val="0"/>
                <w:sz w:val="24"/>
                <w:highlight w:val="none"/>
                <w:lang w:bidi="ar"/>
              </w:rPr>
              <w:t>符合性分析</w:t>
            </w:r>
          </w:p>
          <w:p w14:paraId="68FC08B6">
            <w:pPr>
              <w:numPr>
                <w:ilvl w:val="0"/>
                <w:numId w:val="0"/>
              </w:numPr>
              <w:spacing w:line="360" w:lineRule="auto"/>
              <w:ind w:firstLine="480" w:firstLineChars="200"/>
              <w:jc w:val="left"/>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项目与</w:t>
            </w:r>
            <w:r>
              <w:rPr>
                <w:rFonts w:hint="default" w:ascii="Times New Roman" w:hAnsi="Times New Roman" w:eastAsia="宋体" w:cs="Times New Roman"/>
                <w:b w:val="0"/>
                <w:bCs w:val="0"/>
                <w:color w:val="000000"/>
                <w:kern w:val="0"/>
                <w:sz w:val="24"/>
                <w:szCs w:val="24"/>
                <w:highlight w:val="none"/>
                <w:lang w:val="en-US" w:eastAsia="zh-CN" w:bidi="ar"/>
              </w:rPr>
              <w:t>《挥发性有机物无组织排放控制标准》（</w:t>
            </w:r>
            <w:r>
              <w:rPr>
                <w:rFonts w:hint="eastAsia" w:ascii="Times New Roman" w:hAnsi="Times New Roman" w:eastAsia="宋体" w:cs="Times New Roman"/>
                <w:b w:val="0"/>
                <w:bCs w:val="0"/>
                <w:color w:val="000000"/>
                <w:kern w:val="0"/>
                <w:sz w:val="24"/>
                <w:szCs w:val="24"/>
                <w:highlight w:val="none"/>
                <w:lang w:val="en-US" w:eastAsia="zh-CN" w:bidi="ar"/>
              </w:rPr>
              <w:t>GB 37822-2019</w:t>
            </w:r>
            <w:r>
              <w:rPr>
                <w:rFonts w:hint="default"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sz w:val="24"/>
                <w:szCs w:val="24"/>
                <w:highlight w:val="none"/>
                <w:lang w:val="en-US" w:eastAsia="zh-CN"/>
              </w:rPr>
              <w:t>符合性分析</w:t>
            </w:r>
            <w:r>
              <w:rPr>
                <w:rFonts w:hint="default" w:ascii="Times New Roman" w:hAnsi="Times New Roman" w:eastAsia="宋体" w:cs="Times New Roman"/>
                <w:sz w:val="24"/>
                <w:szCs w:val="24"/>
                <w:highlight w:val="none"/>
              </w:rPr>
              <w:t>详见表1</w:t>
            </w:r>
            <w:r>
              <w:rPr>
                <w:rFonts w:hint="eastAsia" w:ascii="Times New Roman" w:hAnsi="Times New Roman" w:eastAsia="宋体" w:cs="Times New Roman"/>
                <w:sz w:val="24"/>
                <w:szCs w:val="24"/>
                <w:highlight w:val="none"/>
                <w:lang w:val="en-US" w:eastAsia="zh-CN"/>
              </w:rPr>
              <w:t>.4-5</w:t>
            </w:r>
            <w:r>
              <w:rPr>
                <w:rFonts w:hint="default" w:ascii="Times New Roman" w:hAnsi="Times New Roman" w:eastAsia="宋体" w:cs="Times New Roman"/>
                <w:sz w:val="24"/>
                <w:szCs w:val="24"/>
                <w:highlight w:val="none"/>
                <w:lang w:val="en-US" w:eastAsia="zh-CN"/>
              </w:rPr>
              <w:t>。</w:t>
            </w:r>
          </w:p>
          <w:p w14:paraId="66485D61">
            <w:pPr>
              <w:jc w:val="cente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表1</w:t>
            </w:r>
            <w:r>
              <w:rPr>
                <w:rFonts w:hint="eastAsia" w:ascii="Times New Roman" w:hAnsi="Times New Roman" w:eastAsia="宋体" w:cs="Times New Roman"/>
                <w:b/>
                <w:bCs/>
                <w:sz w:val="24"/>
                <w:szCs w:val="24"/>
                <w:highlight w:val="none"/>
                <w:lang w:val="en-US" w:eastAsia="zh-CN"/>
              </w:rPr>
              <w:t>.4-5</w:t>
            </w:r>
            <w:r>
              <w:rPr>
                <w:rFonts w:hint="default" w:ascii="Times New Roman" w:hAnsi="Times New Roman" w:eastAsia="宋体" w:cs="Times New Roman"/>
                <w:b/>
                <w:bCs/>
                <w:sz w:val="24"/>
                <w:szCs w:val="24"/>
                <w:highlight w:val="none"/>
                <w:lang w:val="en-US" w:eastAsia="zh-CN"/>
              </w:rPr>
              <w:t xml:space="preserve"> 与《挥发性有机物无组织排放控制标准》（</w:t>
            </w:r>
            <w:r>
              <w:rPr>
                <w:rFonts w:hint="eastAsia" w:ascii="Times New Roman" w:hAnsi="Times New Roman" w:eastAsia="宋体" w:cs="Times New Roman"/>
                <w:b/>
                <w:bCs/>
                <w:sz w:val="24"/>
                <w:szCs w:val="24"/>
                <w:highlight w:val="none"/>
                <w:lang w:val="en-US" w:eastAsia="zh-CN"/>
              </w:rPr>
              <w:t>GB 37822-2019</w:t>
            </w:r>
            <w:r>
              <w:rPr>
                <w:rFonts w:hint="default" w:ascii="Times New Roman" w:hAnsi="Times New Roman" w:eastAsia="宋体" w:cs="Times New Roman"/>
                <w:b/>
                <w:bCs/>
                <w:sz w:val="24"/>
                <w:szCs w:val="24"/>
                <w:highlight w:val="none"/>
                <w:lang w:val="en-US" w:eastAsia="zh-CN"/>
              </w:rPr>
              <w:t>）符合性分析</w:t>
            </w:r>
          </w:p>
          <w:tbl>
            <w:tblPr>
              <w:tblStyle w:val="17"/>
              <w:tblW w:w="736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688"/>
              <w:gridCol w:w="3199"/>
              <w:gridCol w:w="2019"/>
              <w:gridCol w:w="684"/>
            </w:tblGrid>
            <w:tr w14:paraId="334CE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65" w:type="dxa"/>
                  <w:gridSpan w:val="2"/>
                  <w:noWrap w:val="0"/>
                  <w:vAlign w:val="center"/>
                </w:tcPr>
                <w:p w14:paraId="2503158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分类</w:t>
                  </w:r>
                  <w:r>
                    <w:rPr>
                      <w:rFonts w:hint="default" w:ascii="Times New Roman" w:hAnsi="Times New Roman" w:eastAsia="宋体" w:cs="Times New Roman"/>
                      <w:sz w:val="21"/>
                      <w:szCs w:val="21"/>
                      <w:highlight w:val="none"/>
                      <w:lang w:val="en-US" w:eastAsia="zh-CN"/>
                    </w:rPr>
                    <w:tab/>
                  </w:r>
                </w:p>
              </w:tc>
              <w:tc>
                <w:tcPr>
                  <w:tcW w:w="3199" w:type="dxa"/>
                  <w:noWrap w:val="0"/>
                  <w:vAlign w:val="center"/>
                </w:tcPr>
                <w:p w14:paraId="4E75A334">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判断依据</w:t>
                  </w:r>
                </w:p>
              </w:tc>
              <w:tc>
                <w:tcPr>
                  <w:tcW w:w="2019" w:type="dxa"/>
                  <w:noWrap w:val="0"/>
                  <w:vAlign w:val="center"/>
                </w:tcPr>
                <w:p w14:paraId="626BB579">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本项目情况</w:t>
                  </w:r>
                </w:p>
              </w:tc>
              <w:tc>
                <w:tcPr>
                  <w:tcW w:w="684" w:type="dxa"/>
                  <w:noWrap w:val="0"/>
                  <w:vAlign w:val="center"/>
                </w:tcPr>
                <w:p w14:paraId="287DBE8A">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符合性</w:t>
                  </w:r>
                </w:p>
              </w:tc>
            </w:tr>
            <w:tr w14:paraId="2590C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restart"/>
                  <w:noWrap w:val="0"/>
                  <w:vAlign w:val="center"/>
                </w:tcPr>
                <w:p w14:paraId="4D0E4CE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VOC</w:t>
                  </w:r>
                  <w:r>
                    <w:rPr>
                      <w:rFonts w:hint="default" w:ascii="Times New Roman" w:hAnsi="Times New Roman" w:eastAsia="宋体" w:cs="Times New Roman"/>
                      <w:sz w:val="21"/>
                      <w:szCs w:val="21"/>
                      <w:highlight w:val="none"/>
                      <w:vertAlign w:val="subscript"/>
                      <w:lang w:val="en-US" w:eastAsia="zh-CN"/>
                    </w:rPr>
                    <w:t>S</w:t>
                  </w:r>
                  <w:r>
                    <w:rPr>
                      <w:rFonts w:hint="default" w:ascii="Times New Roman" w:hAnsi="Times New Roman" w:eastAsia="宋体" w:cs="Times New Roman"/>
                      <w:sz w:val="21"/>
                      <w:szCs w:val="21"/>
                      <w:highlight w:val="none"/>
                      <w:lang w:val="en-US" w:eastAsia="zh-CN"/>
                    </w:rPr>
                    <w:t>无组织排放废气收集处理系统要求</w:t>
                  </w:r>
                </w:p>
              </w:tc>
              <w:tc>
                <w:tcPr>
                  <w:tcW w:w="688" w:type="dxa"/>
                  <w:noWrap w:val="0"/>
                  <w:vAlign w:val="center"/>
                </w:tcPr>
                <w:p w14:paraId="08E07052">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w:t>
                  </w:r>
                </w:p>
                <w:p w14:paraId="283942D3">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要求</w:t>
                  </w:r>
                </w:p>
                <w:p w14:paraId="36578B78">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6DA29BB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14:paraId="76C87807">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2019" w:type="dxa"/>
                  <w:noWrap w:val="0"/>
                  <w:vAlign w:val="center"/>
                </w:tcPr>
                <w:p w14:paraId="43F33B2F">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本项目VOCs废气收集处理系统应与生产工艺设备同步运行；废气收集处理系统发生故障或检修时，对应的生产工艺设备停止运行。</w:t>
                  </w:r>
                </w:p>
              </w:tc>
              <w:tc>
                <w:tcPr>
                  <w:tcW w:w="684" w:type="dxa"/>
                  <w:noWrap w:val="0"/>
                  <w:vAlign w:val="center"/>
                </w:tcPr>
                <w:p w14:paraId="3CA85867">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3E890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3C0E5DCC">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restart"/>
                  <w:noWrap w:val="0"/>
                  <w:vAlign w:val="center"/>
                </w:tcPr>
                <w:p w14:paraId="3D592CD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废气收集系统要求</w:t>
                  </w:r>
                </w:p>
              </w:tc>
              <w:tc>
                <w:tcPr>
                  <w:tcW w:w="3199" w:type="dxa"/>
                  <w:noWrap w:val="0"/>
                  <w:vAlign w:val="center"/>
                </w:tcPr>
                <w:p w14:paraId="44DAF928">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企业应考虑生产工艺、操作方式、废气性质、处理方法等因素，对VOCs废气进行分类收集。</w:t>
                  </w:r>
                </w:p>
              </w:tc>
              <w:tc>
                <w:tcPr>
                  <w:tcW w:w="2019" w:type="dxa"/>
                  <w:noWrap w:val="0"/>
                  <w:vAlign w:val="center"/>
                </w:tcPr>
                <w:p w14:paraId="6115904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本项目有机废气</w:t>
                  </w:r>
                  <w:r>
                    <w:rPr>
                      <w:rFonts w:hint="eastAsia" w:ascii="Times New Roman" w:hAnsi="Times New Roman" w:eastAsia="宋体" w:cs="Times New Roman"/>
                      <w:sz w:val="21"/>
                      <w:szCs w:val="21"/>
                      <w:highlight w:val="none"/>
                      <w:lang w:val="en-US" w:eastAsia="zh-CN"/>
                    </w:rPr>
                    <w:t>仅有非甲烷总烃一种，</w:t>
                  </w:r>
                  <w:r>
                    <w:rPr>
                      <w:rFonts w:hint="default" w:ascii="Times New Roman" w:hAnsi="Times New Roman" w:eastAsia="宋体" w:cs="Times New Roman"/>
                      <w:sz w:val="21"/>
                      <w:szCs w:val="21"/>
                      <w:highlight w:val="none"/>
                      <w:lang w:val="en-US" w:eastAsia="zh-CN"/>
                    </w:rPr>
                    <w:t>不</w:t>
                  </w:r>
                  <w:r>
                    <w:rPr>
                      <w:rFonts w:hint="eastAsia" w:ascii="Times New Roman" w:hAnsi="Times New Roman" w:eastAsia="宋体" w:cs="Times New Roman"/>
                      <w:sz w:val="21"/>
                      <w:szCs w:val="21"/>
                      <w:highlight w:val="none"/>
                      <w:lang w:val="en-US" w:eastAsia="zh-CN"/>
                    </w:rPr>
                    <w:t>存在分类收集。</w:t>
                  </w:r>
                  <w:r>
                    <w:rPr>
                      <w:rFonts w:hint="default" w:ascii="Times New Roman" w:hAnsi="Times New Roman" w:eastAsia="宋体" w:cs="Times New Roman"/>
                      <w:sz w:val="21"/>
                      <w:szCs w:val="21"/>
                      <w:highlight w:val="none"/>
                      <w:lang w:val="en-US" w:eastAsia="zh-CN"/>
                    </w:rPr>
                    <w:t>收集后进入</w:t>
                  </w:r>
                  <w:r>
                    <w:rPr>
                      <w:rFonts w:hint="eastAsia" w:ascii="Times New Roman" w:hAnsi="Times New Roman" w:eastAsia="宋体" w:cs="Times New Roman"/>
                      <w:sz w:val="21"/>
                      <w:szCs w:val="21"/>
                      <w:highlight w:val="none"/>
                      <w:lang w:val="en-US" w:eastAsia="zh-CN"/>
                    </w:rPr>
                    <w:t>二级活性炭吸附装置经</w:t>
                  </w:r>
                  <w:r>
                    <w:rPr>
                      <w:rFonts w:hint="default" w:ascii="Times New Roman" w:hAnsi="Times New Roman" w:eastAsia="宋体" w:cs="Times New Roman"/>
                      <w:sz w:val="21"/>
                      <w:szCs w:val="21"/>
                      <w:highlight w:val="none"/>
                      <w:lang w:val="en-US" w:eastAsia="zh-CN"/>
                    </w:rPr>
                    <w:t>处理后排放</w:t>
                  </w:r>
                  <w:r>
                    <w:rPr>
                      <w:rFonts w:hint="eastAsia" w:ascii="Times New Roman" w:hAnsi="Times New Roman" w:eastAsia="宋体" w:cs="Times New Roman"/>
                      <w:sz w:val="21"/>
                      <w:szCs w:val="21"/>
                      <w:highlight w:val="none"/>
                      <w:lang w:val="en-US" w:eastAsia="zh-CN"/>
                    </w:rPr>
                    <w:t>。</w:t>
                  </w:r>
                </w:p>
              </w:tc>
              <w:tc>
                <w:tcPr>
                  <w:tcW w:w="684" w:type="dxa"/>
                  <w:noWrap w:val="0"/>
                  <w:vAlign w:val="center"/>
                </w:tcPr>
                <w:p w14:paraId="4FDFCD12">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18F37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61D278F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continue"/>
                  <w:noWrap w:val="0"/>
                  <w:vAlign w:val="center"/>
                </w:tcPr>
                <w:p w14:paraId="1FB2282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10029532">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废气收集系统排风罩</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集气罩</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的设置应符合</w:t>
                  </w:r>
                  <w:r>
                    <w:rPr>
                      <w:rFonts w:hint="eastAsia" w:ascii="Times New Roman" w:hAnsi="Times New Roman" w:eastAsia="宋体" w:cs="Times New Roman"/>
                      <w:sz w:val="21"/>
                      <w:szCs w:val="21"/>
                      <w:highlight w:val="none"/>
                      <w:lang w:val="en-US" w:eastAsia="zh-CN"/>
                    </w:rPr>
                    <w:t>（GB/T 16758）</w:t>
                  </w:r>
                  <w:r>
                    <w:rPr>
                      <w:rFonts w:hint="default" w:ascii="Times New Roman" w:hAnsi="Times New Roman" w:eastAsia="宋体" w:cs="Times New Roman"/>
                      <w:sz w:val="21"/>
                      <w:szCs w:val="21"/>
                      <w:highlight w:val="none"/>
                      <w:lang w:val="en-US" w:eastAsia="zh-CN"/>
                    </w:rPr>
                    <w:t>的规定。采用外部排风罩的，应按</w:t>
                  </w:r>
                  <w:r>
                    <w:rPr>
                      <w:rFonts w:hint="eastAsia" w:ascii="Times New Roman" w:hAnsi="Times New Roman" w:eastAsia="宋体" w:cs="Times New Roman"/>
                      <w:sz w:val="21"/>
                      <w:szCs w:val="21"/>
                      <w:highlight w:val="none"/>
                      <w:lang w:val="en-US" w:eastAsia="zh-CN"/>
                    </w:rPr>
                    <w:t>（GB/T 16758）</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AQ/T4274--2016</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规定的方法测量控制风速，测量点应选取在距排风罩开口面最远处的VOCs无组织排放位置，控制风速不应低于0.3m/s</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行业相关规范有具体规定的，按相关规定执行</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w:t>
                  </w:r>
                </w:p>
              </w:tc>
              <w:tc>
                <w:tcPr>
                  <w:tcW w:w="2019" w:type="dxa"/>
                  <w:noWrap w:val="0"/>
                  <w:vAlign w:val="center"/>
                </w:tcPr>
                <w:p w14:paraId="2CF8A184">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企业对生产过程中产生的有机废气</w:t>
                  </w:r>
                  <w:r>
                    <w:rPr>
                      <w:rFonts w:hint="eastAsia" w:ascii="Times New Roman" w:hAnsi="Times New Roman" w:eastAsia="宋体" w:cs="Times New Roman"/>
                      <w:color w:val="000000"/>
                      <w:kern w:val="0"/>
                      <w:sz w:val="21"/>
                      <w:szCs w:val="21"/>
                      <w:highlight w:val="none"/>
                      <w:lang w:val="en-US" w:eastAsia="zh-CN" w:bidi="ar"/>
                    </w:rPr>
                    <w:t>通过集气罩收集，收集效率可达80%，设计风速为0.5m/s＞规定要求的0.3m/s。</w:t>
                  </w:r>
                </w:p>
                <w:p w14:paraId="33EB95C3">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4" w:type="dxa"/>
                  <w:noWrap w:val="0"/>
                  <w:vAlign w:val="center"/>
                </w:tcPr>
                <w:p w14:paraId="034C042F">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2AAD8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73DD3409">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continue"/>
                  <w:noWrap w:val="0"/>
                  <w:vAlign w:val="center"/>
                </w:tcPr>
                <w:p w14:paraId="14BB7127">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2307AC1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废气收集系统的输送管道应密闭。废气收集系统应在负压下运行，若处于正压状态，应对输送管道组件的密封点进行泄漏检测，泄漏检测值不应超过500µmol/mol，亦不应有感官可察觉泄漏。</w:t>
                  </w:r>
                </w:p>
              </w:tc>
              <w:tc>
                <w:tcPr>
                  <w:tcW w:w="2019" w:type="dxa"/>
                  <w:noWrap w:val="0"/>
                  <w:vAlign w:val="center"/>
                </w:tcPr>
                <w:p w14:paraId="150FE4AC">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废气收集系统的输送管道</w:t>
                  </w:r>
                  <w:r>
                    <w:rPr>
                      <w:rFonts w:hint="eastAsia" w:ascii="Times New Roman" w:hAnsi="Times New Roman" w:eastAsia="宋体" w:cs="Times New Roman"/>
                      <w:sz w:val="21"/>
                      <w:szCs w:val="21"/>
                      <w:highlight w:val="none"/>
                      <w:lang w:val="en-US" w:eastAsia="zh-CN"/>
                    </w:rPr>
                    <w:t>全</w:t>
                  </w:r>
                  <w:r>
                    <w:rPr>
                      <w:rFonts w:hint="default" w:ascii="Times New Roman" w:hAnsi="Times New Roman" w:eastAsia="宋体" w:cs="Times New Roman"/>
                      <w:sz w:val="21"/>
                      <w:szCs w:val="21"/>
                      <w:highlight w:val="none"/>
                      <w:lang w:val="en-US" w:eastAsia="zh-CN"/>
                    </w:rPr>
                    <w:t>密闭。废气收集系统在负压下运行。</w:t>
                  </w:r>
                </w:p>
              </w:tc>
              <w:tc>
                <w:tcPr>
                  <w:tcW w:w="684" w:type="dxa"/>
                  <w:noWrap w:val="0"/>
                  <w:vAlign w:val="center"/>
                </w:tcPr>
                <w:p w14:paraId="305249F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7346B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098E5C11">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restart"/>
                  <w:noWrap w:val="0"/>
                  <w:vAlign w:val="center"/>
                </w:tcPr>
                <w:p w14:paraId="4C081FDC">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VOC</w:t>
                  </w:r>
                </w:p>
                <w:p w14:paraId="14A54D79">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s排</w:t>
                  </w:r>
                </w:p>
                <w:p w14:paraId="3233A0C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放控</w:t>
                  </w:r>
                </w:p>
                <w:p w14:paraId="6773A16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制要</w:t>
                  </w:r>
                </w:p>
                <w:p w14:paraId="7BACF403">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7CDC154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VOCs废气收集处理系统污染物排放应符合</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GB16297</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或相关行业排放</w:t>
                  </w:r>
                  <w:r>
                    <w:rPr>
                      <w:rFonts w:hint="eastAsia" w:ascii="Times New Roman" w:hAnsi="Times New Roman" w:eastAsia="宋体" w:cs="Times New Roman"/>
                      <w:sz w:val="21"/>
                      <w:szCs w:val="21"/>
                      <w:highlight w:val="none"/>
                      <w:lang w:val="en-US" w:eastAsia="zh-CN"/>
                    </w:rPr>
                    <w:t>标准</w:t>
                  </w:r>
                  <w:r>
                    <w:rPr>
                      <w:rFonts w:hint="default" w:ascii="Times New Roman" w:hAnsi="Times New Roman" w:eastAsia="宋体" w:cs="Times New Roman"/>
                      <w:sz w:val="21"/>
                      <w:szCs w:val="21"/>
                      <w:highlight w:val="none"/>
                      <w:lang w:val="en-US" w:eastAsia="zh-CN"/>
                    </w:rPr>
                    <w:t>的规定。</w:t>
                  </w:r>
                </w:p>
              </w:tc>
              <w:tc>
                <w:tcPr>
                  <w:tcW w:w="2019" w:type="dxa"/>
                  <w:noWrap w:val="0"/>
                  <w:vAlign w:val="center"/>
                </w:tcPr>
                <w:p w14:paraId="1EBEDCA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项目</w:t>
                  </w:r>
                  <w:r>
                    <w:rPr>
                      <w:rFonts w:hint="default" w:ascii="Times New Roman" w:hAnsi="Times New Roman" w:eastAsia="宋体" w:cs="Times New Roman"/>
                      <w:sz w:val="21"/>
                      <w:szCs w:val="21"/>
                      <w:highlight w:val="none"/>
                      <w:lang w:val="en-US" w:eastAsia="zh-CN"/>
                    </w:rPr>
                    <w:t>VOCs废气收集处理系统污染物排放符合相关行业</w:t>
                  </w:r>
                </w:p>
                <w:p w14:paraId="32FFDCA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排放标准的规定。</w:t>
                  </w:r>
                </w:p>
              </w:tc>
              <w:tc>
                <w:tcPr>
                  <w:tcW w:w="684" w:type="dxa"/>
                  <w:noWrap w:val="0"/>
                  <w:vAlign w:val="center"/>
                </w:tcPr>
                <w:p w14:paraId="3FE7F9E4">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1AF53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17D35D1F">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continue"/>
                  <w:noWrap w:val="0"/>
                  <w:vAlign w:val="center"/>
                </w:tcPr>
                <w:p w14:paraId="17A93898">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50516E19">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2019" w:type="dxa"/>
                  <w:noWrap w:val="0"/>
                  <w:vAlign w:val="center"/>
                </w:tcPr>
                <w:p w14:paraId="56188C1F">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项目非甲烷总烃有组织初始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排放速率仅为0.048kg/h</w:t>
                  </w:r>
                  <w:r>
                    <w:rPr>
                      <w:rFonts w:hint="eastAsia" w:ascii="Times New Roman" w:hAnsi="Times New Roman" w:eastAsia="宋体" w:cs="Times New Roman"/>
                      <w:sz w:val="21"/>
                      <w:szCs w:val="21"/>
                      <w:highlight w:val="none"/>
                      <w:lang w:val="en-US" w:eastAsia="zh-CN"/>
                    </w:rPr>
                    <w:t>，处理设施的处理效率为75%，其生产原料为</w:t>
                  </w:r>
                  <w:r>
                    <w:rPr>
                      <w:rFonts w:hint="default" w:ascii="Times New Roman" w:hAnsi="Times New Roman" w:eastAsia="宋体" w:cs="Times New Roman"/>
                      <w:sz w:val="21"/>
                      <w:szCs w:val="21"/>
                      <w:highlight w:val="none"/>
                      <w:lang w:val="en-US" w:eastAsia="zh-CN"/>
                    </w:rPr>
                    <w:t>低VOCs含量</w:t>
                  </w:r>
                  <w:r>
                    <w:rPr>
                      <w:rFonts w:hint="eastAsia" w:ascii="Times New Roman" w:hAnsi="Times New Roman" w:eastAsia="宋体" w:cs="Times New Roman"/>
                      <w:sz w:val="21"/>
                      <w:szCs w:val="21"/>
                      <w:highlight w:val="none"/>
                      <w:lang w:val="en-US" w:eastAsia="zh-CN"/>
                    </w:rPr>
                    <w:t>，符合要求。</w:t>
                  </w:r>
                </w:p>
              </w:tc>
              <w:tc>
                <w:tcPr>
                  <w:tcW w:w="684" w:type="dxa"/>
                  <w:noWrap w:val="0"/>
                  <w:vAlign w:val="center"/>
                </w:tcPr>
                <w:p w14:paraId="505F1DB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3AC89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28D12A0F">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continue"/>
                  <w:noWrap w:val="0"/>
                  <w:vAlign w:val="center"/>
                </w:tcPr>
                <w:p w14:paraId="2B9199C2">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27CB9E1B">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排气筒高度不低于15m</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因安全考虑或有特殊工艺要求的除外</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，具体高度以及与周围建筑物的相对高度关系应根据环境影响评价文件确定。</w:t>
                  </w:r>
                </w:p>
              </w:tc>
              <w:tc>
                <w:tcPr>
                  <w:tcW w:w="2019" w:type="dxa"/>
                  <w:noWrap w:val="0"/>
                  <w:vAlign w:val="center"/>
                </w:tcPr>
                <w:p w14:paraId="1E30D754">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本项目拟建设的排气筒高度为15m。</w:t>
                  </w:r>
                </w:p>
              </w:tc>
              <w:tc>
                <w:tcPr>
                  <w:tcW w:w="684" w:type="dxa"/>
                  <w:noWrap w:val="0"/>
                  <w:vAlign w:val="center"/>
                </w:tcPr>
                <w:p w14:paraId="3FFFD09E">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59719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469E8683">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vMerge w:val="continue"/>
                  <w:noWrap w:val="0"/>
                  <w:vAlign w:val="center"/>
                </w:tcPr>
                <w:p w14:paraId="103DFC9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3199" w:type="dxa"/>
                  <w:noWrap w:val="0"/>
                  <w:vAlign w:val="center"/>
                </w:tcPr>
                <w:p w14:paraId="652D02FD">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当执行不同排放控制要求的废气合并排气筒排放时，应在废气混合前进行监测，并执行相应的排放控制要求</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若可选择的监控位置只能对混合后的废气进行监测，则应按各排放控制要求中最严格的规定执行。</w:t>
                  </w:r>
                </w:p>
              </w:tc>
              <w:tc>
                <w:tcPr>
                  <w:tcW w:w="2019" w:type="dxa"/>
                  <w:noWrap w:val="0"/>
                  <w:vAlign w:val="center"/>
                </w:tcPr>
                <w:p w14:paraId="57A06D36">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本项目仅产生一种有机废气，有机废气排放标准一致。</w:t>
                  </w:r>
                </w:p>
              </w:tc>
              <w:tc>
                <w:tcPr>
                  <w:tcW w:w="684" w:type="dxa"/>
                  <w:noWrap w:val="0"/>
                  <w:vAlign w:val="center"/>
                </w:tcPr>
                <w:p w14:paraId="4BB9F780">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r w14:paraId="319AD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77" w:type="dxa"/>
                  <w:vMerge w:val="continue"/>
                  <w:noWrap w:val="0"/>
                  <w:vAlign w:val="center"/>
                </w:tcPr>
                <w:p w14:paraId="5474DB24">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p>
              </w:tc>
              <w:tc>
                <w:tcPr>
                  <w:tcW w:w="688" w:type="dxa"/>
                  <w:noWrap w:val="0"/>
                  <w:vAlign w:val="center"/>
                </w:tcPr>
                <w:p w14:paraId="1BB79EC3">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记录要求</w:t>
                  </w:r>
                </w:p>
              </w:tc>
              <w:tc>
                <w:tcPr>
                  <w:tcW w:w="3199" w:type="dxa"/>
                  <w:noWrap w:val="0"/>
                  <w:vAlign w:val="center"/>
                </w:tcPr>
                <w:p w14:paraId="4505C4D1">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019" w:type="dxa"/>
                  <w:noWrap w:val="0"/>
                  <w:vAlign w:val="center"/>
                </w:tcPr>
                <w:p w14:paraId="1F9A5C8E">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根据相关技术规范</w:t>
                  </w:r>
                  <w:r>
                    <w:rPr>
                      <w:rFonts w:hint="eastAsia" w:ascii="Times New Roman" w:hAnsi="Times New Roman" w:eastAsia="宋体" w:cs="Times New Roman"/>
                      <w:sz w:val="21"/>
                      <w:szCs w:val="21"/>
                      <w:highlight w:val="none"/>
                      <w:lang w:val="en-US" w:eastAsia="zh-CN"/>
                    </w:rPr>
                    <w:t>，项目设置</w:t>
                  </w:r>
                  <w:r>
                    <w:rPr>
                      <w:rFonts w:hint="default" w:ascii="Times New Roman" w:hAnsi="Times New Roman" w:eastAsia="宋体" w:cs="Times New Roman"/>
                      <w:sz w:val="21"/>
                      <w:szCs w:val="21"/>
                      <w:highlight w:val="none"/>
                      <w:lang w:val="en-US" w:eastAsia="zh-CN"/>
                    </w:rPr>
                    <w:t>有废气处理设施台账，并按要求记录相关内容。</w:t>
                  </w:r>
                </w:p>
              </w:tc>
              <w:tc>
                <w:tcPr>
                  <w:tcW w:w="684" w:type="dxa"/>
                  <w:noWrap w:val="0"/>
                  <w:vAlign w:val="center"/>
                </w:tcPr>
                <w:p w14:paraId="2F95947A">
                  <w:pPr>
                    <w:keepNext w:val="0"/>
                    <w:keepLines w:val="0"/>
                    <w:pageBreakBefore w:val="0"/>
                    <w:kinsoku/>
                    <w:wordWrap/>
                    <w:overflowPunct/>
                    <w:topLinePunct w:val="0"/>
                    <w:autoSpaceDE/>
                    <w:autoSpaceDN/>
                    <w:bidi w:val="0"/>
                    <w:adjustRightInd/>
                    <w:spacing w:line="340" w:lineRule="exact"/>
                    <w:jc w:val="center"/>
                    <w:textAlignment w:val="auto"/>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sz w:val="21"/>
                      <w:szCs w:val="21"/>
                      <w:highlight w:val="none"/>
                      <w:lang w:val="en-US" w:eastAsia="zh-CN"/>
                    </w:rPr>
                    <w:t>符合</w:t>
                  </w:r>
                </w:p>
              </w:tc>
            </w:tr>
          </w:tbl>
          <w:p w14:paraId="365A3FDA">
            <w:pPr>
              <w:numPr>
                <w:ilvl w:val="0"/>
                <w:numId w:val="0"/>
              </w:numPr>
              <w:spacing w:line="360" w:lineRule="auto"/>
              <w:jc w:val="left"/>
              <w:rPr>
                <w:rFonts w:hint="default" w:ascii="Times New Roman" w:hAnsi="Times New Roman" w:eastAsia="宋体" w:cs="Times New Roman"/>
                <w:b/>
                <w:bCs/>
                <w:color w:val="000000"/>
                <w:kern w:val="0"/>
                <w:sz w:val="24"/>
                <w:highlight w:val="none"/>
                <w:lang w:val="en-US" w:eastAsia="zh-CN" w:bidi="ar"/>
              </w:rPr>
            </w:pPr>
            <w:r>
              <w:rPr>
                <w:rFonts w:hint="default" w:ascii="Times New Roman" w:hAnsi="Times New Roman" w:eastAsia="宋体" w:cs="Times New Roman"/>
                <w:b/>
                <w:bCs/>
                <w:color w:val="000000"/>
                <w:kern w:val="0"/>
                <w:sz w:val="24"/>
                <w:highlight w:val="none"/>
                <w:lang w:val="en-US" w:eastAsia="zh-CN" w:bidi="ar"/>
              </w:rPr>
              <w:t>1.4.5 与《泉州市生态环境局关于印发</w:t>
            </w:r>
            <w:r>
              <w:rPr>
                <w:rFonts w:hint="eastAsia" w:ascii="Times New Roman" w:hAnsi="Times New Roman" w:eastAsia="宋体" w:cs="Times New Roman"/>
                <w:b/>
                <w:bCs/>
                <w:color w:val="000000"/>
                <w:kern w:val="0"/>
                <w:sz w:val="24"/>
                <w:highlight w:val="none"/>
                <w:lang w:val="en-US" w:eastAsia="zh-CN" w:bidi="ar"/>
              </w:rPr>
              <w:t>“</w:t>
            </w:r>
            <w:r>
              <w:rPr>
                <w:rFonts w:hint="default" w:ascii="Times New Roman" w:hAnsi="Times New Roman" w:eastAsia="宋体" w:cs="Times New Roman"/>
                <w:b/>
                <w:bCs/>
                <w:color w:val="000000"/>
                <w:kern w:val="0"/>
                <w:sz w:val="24"/>
                <w:highlight w:val="none"/>
                <w:lang w:val="en-US" w:eastAsia="zh-CN" w:bidi="ar"/>
              </w:rPr>
              <w:t>泉州市 2020 挥发性有机物治理攻坚实施方案</w:t>
            </w:r>
            <w:r>
              <w:rPr>
                <w:rFonts w:hint="eastAsia" w:ascii="Times New Roman" w:hAnsi="Times New Roman" w:eastAsia="宋体" w:cs="Times New Roman"/>
                <w:b/>
                <w:bCs/>
                <w:color w:val="000000"/>
                <w:kern w:val="0"/>
                <w:sz w:val="24"/>
                <w:highlight w:val="none"/>
                <w:lang w:val="en-US" w:eastAsia="zh-CN" w:bidi="ar"/>
              </w:rPr>
              <w:t>”</w:t>
            </w:r>
            <w:r>
              <w:rPr>
                <w:rFonts w:hint="default" w:ascii="Times New Roman" w:hAnsi="Times New Roman" w:eastAsia="宋体" w:cs="Times New Roman"/>
                <w:b/>
                <w:bCs/>
                <w:color w:val="000000"/>
                <w:kern w:val="0"/>
                <w:sz w:val="24"/>
                <w:highlight w:val="none"/>
                <w:lang w:val="en-US" w:eastAsia="zh-CN" w:bidi="ar"/>
              </w:rPr>
              <w:t>的通知》符合性分析</w:t>
            </w:r>
          </w:p>
          <w:p w14:paraId="296FACC1">
            <w:pPr>
              <w:spacing w:line="360" w:lineRule="auto"/>
              <w:ind w:firstLine="480" w:firstLineChars="200"/>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本项目与《泉州市 2020 年挥发性有机物治理攻坚实施方案》（泉环保大气〔2020〕5 号）符合性分析详见下表1</w:t>
            </w:r>
            <w:r>
              <w:rPr>
                <w:rFonts w:hint="eastAsia" w:ascii="Times New Roman" w:hAnsi="Times New Roman" w:eastAsia="宋体" w:cs="Times New Roman"/>
                <w:b w:val="0"/>
                <w:bCs w:val="0"/>
                <w:color w:val="000000"/>
                <w:kern w:val="0"/>
                <w:sz w:val="24"/>
                <w:szCs w:val="24"/>
                <w:highlight w:val="none"/>
                <w:lang w:val="en-US" w:eastAsia="zh-CN" w:bidi="ar"/>
              </w:rPr>
              <w:t>.4-6</w:t>
            </w:r>
            <w:r>
              <w:rPr>
                <w:rFonts w:hint="default" w:ascii="Times New Roman" w:hAnsi="Times New Roman" w:eastAsia="宋体" w:cs="Times New Roman"/>
                <w:b w:val="0"/>
                <w:bCs w:val="0"/>
                <w:color w:val="000000"/>
                <w:kern w:val="0"/>
                <w:sz w:val="24"/>
                <w:szCs w:val="24"/>
                <w:highlight w:val="none"/>
                <w:lang w:val="en-US" w:eastAsia="zh-CN" w:bidi="ar"/>
              </w:rPr>
              <w:t>。</w:t>
            </w:r>
          </w:p>
          <w:p w14:paraId="22A771D3">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rPr>
              <w:t>表1</w:t>
            </w:r>
            <w:r>
              <w:rPr>
                <w:rFonts w:hint="eastAsia" w:ascii="Times New Roman" w:hAnsi="Times New Roman" w:eastAsia="宋体" w:cs="Times New Roman"/>
                <w:b/>
                <w:bCs/>
                <w:sz w:val="24"/>
                <w:szCs w:val="24"/>
                <w:highlight w:val="none"/>
                <w:lang w:val="en-US" w:eastAsia="zh-CN"/>
              </w:rPr>
              <w:t>.4-6</w:t>
            </w:r>
            <w:r>
              <w:rPr>
                <w:rFonts w:hint="default" w:ascii="Times New Roman" w:hAnsi="Times New Roman" w:eastAsia="宋体" w:cs="Times New Roman"/>
                <w:b/>
                <w:bCs/>
                <w:sz w:val="24"/>
                <w:szCs w:val="24"/>
                <w:highlight w:val="none"/>
                <w:lang w:val="en-US" w:eastAsia="zh-CN"/>
              </w:rPr>
              <w:t xml:space="preserve"> 本项目与泉州市 2020 年挥发性有机物治理攻坚实施方案符合性</w:t>
            </w:r>
            <w:r>
              <w:rPr>
                <w:rFonts w:hint="default" w:ascii="Times New Roman" w:hAnsi="Times New Roman" w:eastAsia="宋体" w:cs="Times New Roman"/>
                <w:b/>
                <w:bCs/>
                <w:sz w:val="24"/>
                <w:szCs w:val="24"/>
                <w:highlight w:val="none"/>
              </w:rPr>
              <w:t>分析对照表</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100"/>
              <w:gridCol w:w="2241"/>
              <w:gridCol w:w="829"/>
            </w:tblGrid>
            <w:tr w14:paraId="2C8EE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02" w:type="pct"/>
                  <w:noWrap w:val="0"/>
                  <w:vAlign w:val="center"/>
                </w:tcPr>
                <w:p w14:paraId="7F685ACF">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相关任务</w:t>
                  </w:r>
                </w:p>
              </w:tc>
              <w:tc>
                <w:tcPr>
                  <w:tcW w:w="2108" w:type="pct"/>
                  <w:noWrap w:val="0"/>
                  <w:vAlign w:val="center"/>
                </w:tcPr>
                <w:p w14:paraId="3ADB3F34">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控制要求</w:t>
                  </w:r>
                </w:p>
              </w:tc>
              <w:tc>
                <w:tcPr>
                  <w:tcW w:w="1524" w:type="pct"/>
                  <w:noWrap w:val="0"/>
                  <w:vAlign w:val="center"/>
                </w:tcPr>
                <w:p w14:paraId="506E9255">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本项目情况</w:t>
                  </w:r>
                </w:p>
              </w:tc>
              <w:tc>
                <w:tcPr>
                  <w:tcW w:w="564" w:type="pct"/>
                  <w:noWrap w:val="0"/>
                  <w:vAlign w:val="center"/>
                </w:tcPr>
                <w:p w14:paraId="668B9CF2">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符合情况</w:t>
                  </w:r>
                </w:p>
              </w:tc>
            </w:tr>
            <w:tr w14:paraId="3D576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02" w:type="pct"/>
                  <w:vMerge w:val="restart"/>
                  <w:noWrap w:val="0"/>
                  <w:vAlign w:val="center"/>
                </w:tcPr>
                <w:p w14:paraId="2905D10C">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lang w:val="en-US" w:eastAsia="zh-CN"/>
                    </w:rPr>
                    <w:t>大力推进源头替代，有效减少VOCs产生</w:t>
                  </w:r>
                </w:p>
              </w:tc>
              <w:tc>
                <w:tcPr>
                  <w:tcW w:w="2108" w:type="pct"/>
                  <w:noWrap w:val="0"/>
                  <w:vAlign w:val="center"/>
                </w:tcPr>
                <w:p w14:paraId="0AEF1720">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大力推进低（无）VOCs含量原辅材料替代。</w:t>
                  </w:r>
                </w:p>
              </w:tc>
              <w:tc>
                <w:tcPr>
                  <w:tcW w:w="1524" w:type="pct"/>
                  <w:vMerge w:val="restart"/>
                  <w:noWrap w:val="0"/>
                  <w:vAlign w:val="center"/>
                </w:tcPr>
                <w:p w14:paraId="010C9A87">
                  <w:pPr>
                    <w:widowControl w:val="0"/>
                    <w:spacing w:line="340" w:lineRule="exact"/>
                    <w:ind w:firstLine="0" w:firstLineChars="0"/>
                    <w:rPr>
                      <w:rFonts w:hint="eastAsia" w:ascii="Times New Roman" w:hAnsi="Times New Roman" w:eastAsia="宋体" w:cs="Times New Roman"/>
                      <w:sz w:val="21"/>
                      <w:szCs w:val="21"/>
                      <w:highlight w:val="none"/>
                      <w:shd w:val="clear" w:color="auto" w:fill="FFFFFF"/>
                      <w:lang w:val="en-US" w:eastAsia="zh-CN"/>
                    </w:rPr>
                  </w:pPr>
                  <w:r>
                    <w:rPr>
                      <w:rFonts w:hint="eastAsia" w:ascii="Times New Roman" w:hAnsi="Times New Roman" w:cs="Times New Roman"/>
                      <w:sz w:val="21"/>
                      <w:szCs w:val="21"/>
                      <w:highlight w:val="none"/>
                      <w:lang w:val="en-US" w:eastAsia="zh-CN"/>
                    </w:rPr>
                    <w:t>项目主要使用</w:t>
                  </w:r>
                  <w:r>
                    <w:rPr>
                      <w:rFonts w:hint="default" w:ascii="Times New Roman" w:hAnsi="Times New Roman" w:cs="Times New Roman"/>
                      <w:sz w:val="21"/>
                      <w:szCs w:val="21"/>
                      <w:highlight w:val="none"/>
                    </w:rPr>
                    <w:t>低（无）VOCs含量</w:t>
                  </w:r>
                  <w:r>
                    <w:rPr>
                      <w:rFonts w:hint="eastAsia" w:ascii="Times New Roman" w:hAnsi="Times New Roman" w:eastAsia="宋体" w:cs="Times New Roman"/>
                      <w:sz w:val="21"/>
                      <w:szCs w:val="21"/>
                      <w:highlight w:val="none"/>
                      <w:lang w:val="en-US" w:eastAsia="zh-CN"/>
                    </w:rPr>
                    <w:t>的UV油墨（详见</w:t>
                  </w:r>
                  <w:r>
                    <w:rPr>
                      <w:rFonts w:hint="eastAsia" w:ascii="Times New Roman" w:hAnsi="Times New Roman" w:cs="Times New Roman"/>
                      <w:sz w:val="21"/>
                      <w:szCs w:val="21"/>
                      <w:highlight w:val="none"/>
                      <w:lang w:val="en-US" w:eastAsia="zh-CN"/>
                    </w:rPr>
                    <w:t>4.2.1</w:t>
                  </w:r>
                  <w:r>
                    <w:rPr>
                      <w:rFonts w:hint="eastAsia" w:ascii="Times New Roman" w:hAnsi="Times New Roman" w:eastAsia="宋体" w:cs="Times New Roman"/>
                      <w:sz w:val="21"/>
                      <w:szCs w:val="21"/>
                      <w:highlight w:val="none"/>
                      <w:lang w:val="en-US" w:eastAsia="zh-CN"/>
                    </w:rPr>
                    <w:t>）。按要求建立相关台账。</w:t>
                  </w:r>
                </w:p>
              </w:tc>
              <w:tc>
                <w:tcPr>
                  <w:tcW w:w="564" w:type="pct"/>
                  <w:vMerge w:val="restart"/>
                  <w:noWrap w:val="0"/>
                  <w:vAlign w:val="center"/>
                </w:tcPr>
                <w:p w14:paraId="05C230FF">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5AC19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802" w:type="pct"/>
                  <w:vMerge w:val="continue"/>
                  <w:noWrap w:val="0"/>
                  <w:vAlign w:val="center"/>
                </w:tcPr>
                <w:p w14:paraId="6CC1D5CF">
                  <w:pPr>
                    <w:widowControl w:val="0"/>
                    <w:spacing w:line="340" w:lineRule="exact"/>
                    <w:ind w:firstLine="0" w:firstLineChars="0"/>
                    <w:rPr>
                      <w:rFonts w:hint="default" w:ascii="Times New Roman" w:hAnsi="Times New Roman" w:cs="Times New Roman"/>
                      <w:highlight w:val="none"/>
                    </w:rPr>
                  </w:pPr>
                </w:p>
              </w:tc>
              <w:tc>
                <w:tcPr>
                  <w:tcW w:w="2108" w:type="pct"/>
                  <w:noWrap w:val="0"/>
                  <w:vAlign w:val="center"/>
                </w:tcPr>
                <w:p w14:paraId="732E9DA5">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企业应建立原辅材料台账，记录VOCs原辅材料名称、成分、VOCs含量、采购量、使用量、库存量、回收方式、回收量等信息，并保存相关证明材料。</w:t>
                  </w:r>
                </w:p>
              </w:tc>
              <w:tc>
                <w:tcPr>
                  <w:tcW w:w="1524" w:type="pct"/>
                  <w:vMerge w:val="continue"/>
                  <w:noWrap w:val="0"/>
                  <w:vAlign w:val="center"/>
                </w:tcPr>
                <w:p w14:paraId="652B7618">
                  <w:pPr>
                    <w:widowControl w:val="0"/>
                    <w:spacing w:line="340" w:lineRule="exact"/>
                    <w:ind w:firstLine="0" w:firstLineChars="0"/>
                    <w:rPr>
                      <w:rFonts w:hint="default" w:ascii="Times New Roman" w:hAnsi="Times New Roman" w:cs="Times New Roman"/>
                      <w:sz w:val="21"/>
                      <w:szCs w:val="21"/>
                      <w:highlight w:val="none"/>
                    </w:rPr>
                  </w:pPr>
                </w:p>
              </w:tc>
              <w:tc>
                <w:tcPr>
                  <w:tcW w:w="564" w:type="pct"/>
                  <w:vMerge w:val="continue"/>
                  <w:noWrap w:val="0"/>
                  <w:vAlign w:val="center"/>
                </w:tcPr>
                <w:p w14:paraId="489A07F0">
                  <w:pPr>
                    <w:widowControl w:val="0"/>
                    <w:spacing w:line="340" w:lineRule="exact"/>
                    <w:ind w:firstLine="0" w:firstLineChars="0"/>
                    <w:rPr>
                      <w:rFonts w:hint="default" w:ascii="Times New Roman" w:hAnsi="Times New Roman" w:cs="Times New Roman"/>
                      <w:sz w:val="21"/>
                      <w:szCs w:val="21"/>
                      <w:highlight w:val="none"/>
                    </w:rPr>
                  </w:pPr>
                </w:p>
              </w:tc>
            </w:tr>
            <w:tr w14:paraId="61492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802" w:type="pct"/>
                  <w:noWrap w:val="0"/>
                  <w:vAlign w:val="center"/>
                </w:tcPr>
                <w:p w14:paraId="14B522BF">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全面落实标准要求，强化无组织排放控制</w:t>
                  </w:r>
                </w:p>
              </w:tc>
              <w:tc>
                <w:tcPr>
                  <w:tcW w:w="2108" w:type="pct"/>
                  <w:noWrap w:val="0"/>
                  <w:vAlign w:val="center"/>
                </w:tcPr>
                <w:p w14:paraId="19C24304">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企业在无组织排放排查整治过程中，在保证安全的前提下，加强含VOCs物料全方位、全链条、全环节密闭管理。储存环节应采用密闭容器、包装袋，高效密封储罐，封闭式储库、料仓等。装卸、转移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集中清运，交有资质的单位处置，不得随意丢弃；处置单位在贮存、清洗、破碎等环节应按要求对</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无组织排放废气进行收集、处理。含</w:t>
                  </w:r>
                  <w:r>
                    <w:rPr>
                      <w:rFonts w:hint="eastAsia" w:ascii="Times New Roman" w:hAnsi="Times New Roman" w:cs="Times New Roman"/>
                      <w:szCs w:val="21"/>
                      <w:highlight w:val="none"/>
                      <w:lang w:val="en-US" w:eastAsia="zh-CN"/>
                    </w:rPr>
                    <w:t>有VOCs</w:t>
                  </w:r>
                  <w:r>
                    <w:rPr>
                      <w:rFonts w:hint="default" w:ascii="Times New Roman" w:hAnsi="Times New Roman" w:cs="Times New Roman"/>
                      <w:szCs w:val="21"/>
                      <w:highlight w:val="none"/>
                      <w:lang w:val="en-US" w:eastAsia="zh-CN"/>
                    </w:rPr>
                    <w:t>废水的集输、储存和处理环节，应加盖密闭。按时对盛装过</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物料的包装容器、含</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废料（渣、液）、废吸附剂等集中清运一次，交有资质的单位处置。</w:t>
                  </w:r>
                </w:p>
              </w:tc>
              <w:tc>
                <w:tcPr>
                  <w:tcW w:w="1524" w:type="pct"/>
                  <w:noWrap w:val="0"/>
                  <w:vAlign w:val="center"/>
                </w:tcPr>
                <w:p w14:paraId="096B6F56">
                  <w:pPr>
                    <w:widowControl w:val="0"/>
                    <w:spacing w:line="340" w:lineRule="exact"/>
                    <w:ind w:firstLine="0" w:firstLineChars="0"/>
                    <w:rPr>
                      <w:rFonts w:hint="default" w:ascii="Times New Roman" w:hAnsi="Times New Roman" w:eastAsia="宋体" w:cs="Times New Roman"/>
                      <w:sz w:val="21"/>
                      <w:szCs w:val="21"/>
                      <w:highlight w:val="none"/>
                      <w:shd w:val="clear" w:color="auto" w:fill="FFFFFF"/>
                      <w:lang w:eastAsia="zh-CN"/>
                    </w:rPr>
                  </w:pPr>
                  <w:r>
                    <w:rPr>
                      <w:rFonts w:hint="default" w:ascii="Times New Roman" w:hAnsi="Times New Roman" w:cs="Times New Roman"/>
                      <w:kern w:val="2"/>
                      <w:sz w:val="21"/>
                      <w:szCs w:val="21"/>
                      <w:highlight w:val="none"/>
                      <w:lang w:val="en-US" w:eastAsia="zh-CN"/>
                    </w:rPr>
                    <w:t>项目</w:t>
                  </w:r>
                  <w:r>
                    <w:rPr>
                      <w:rFonts w:hint="eastAsia" w:ascii="Times New Roman" w:hAnsi="Times New Roman" w:cs="Times New Roman"/>
                      <w:kern w:val="2"/>
                      <w:sz w:val="21"/>
                      <w:szCs w:val="21"/>
                      <w:highlight w:val="none"/>
                      <w:lang w:val="en-US" w:eastAsia="zh-CN"/>
                    </w:rPr>
                    <w:t>含VOCs</w:t>
                  </w:r>
                  <w:r>
                    <w:rPr>
                      <w:rFonts w:hint="default" w:ascii="Times New Roman" w:hAnsi="Times New Roman" w:cs="Times New Roman"/>
                      <w:kern w:val="2"/>
                      <w:sz w:val="21"/>
                      <w:szCs w:val="21"/>
                      <w:highlight w:val="none"/>
                      <w:lang w:val="en-US" w:eastAsia="zh-CN"/>
                    </w:rPr>
                    <w:t>原料为</w:t>
                  </w:r>
                  <w:r>
                    <w:rPr>
                      <w:rFonts w:hint="eastAsia" w:ascii="Times New Roman" w:hAnsi="Times New Roman" w:cs="Times New Roman"/>
                      <w:kern w:val="2"/>
                      <w:sz w:val="21"/>
                      <w:szCs w:val="21"/>
                      <w:highlight w:val="none"/>
                      <w:lang w:val="en-US" w:eastAsia="zh-CN"/>
                    </w:rPr>
                    <w:t>溶剂油墨、UV油墨及稀释剂</w:t>
                  </w:r>
                  <w:r>
                    <w:rPr>
                      <w:rFonts w:hint="default" w:ascii="Times New Roman" w:hAnsi="Times New Roman" w:cs="Times New Roman"/>
                      <w:kern w:val="2"/>
                      <w:sz w:val="21"/>
                      <w:szCs w:val="21"/>
                      <w:highlight w:val="none"/>
                      <w:lang w:val="en-US" w:eastAsia="zh-CN"/>
                    </w:rPr>
                    <w:t>，</w:t>
                  </w:r>
                  <w:r>
                    <w:rPr>
                      <w:rFonts w:hint="eastAsia" w:ascii="Times New Roman" w:hAnsi="Times New Roman" w:cs="Times New Roman"/>
                      <w:kern w:val="2"/>
                      <w:sz w:val="21"/>
                      <w:szCs w:val="21"/>
                      <w:highlight w:val="none"/>
                      <w:lang w:val="en-US" w:eastAsia="zh-CN"/>
                    </w:rPr>
                    <w:t>不使用时放置于专用化学品仓库</w:t>
                  </w:r>
                  <w:r>
                    <w:rPr>
                      <w:rFonts w:hint="default" w:ascii="Times New Roman" w:hAnsi="Times New Roman" w:cs="Times New Roman"/>
                      <w:kern w:val="2"/>
                      <w:sz w:val="21"/>
                      <w:szCs w:val="21"/>
                      <w:highlight w:val="none"/>
                      <w:lang w:val="en-US" w:eastAsia="zh-CN"/>
                    </w:rPr>
                    <w:t>，在非取用状态</w:t>
                  </w:r>
                  <w:r>
                    <w:rPr>
                      <w:rFonts w:hint="eastAsia" w:ascii="Times New Roman" w:hAnsi="Times New Roman" w:cs="Times New Roman"/>
                      <w:kern w:val="2"/>
                      <w:sz w:val="21"/>
                      <w:szCs w:val="21"/>
                      <w:highlight w:val="none"/>
                      <w:lang w:val="en-US" w:eastAsia="zh-CN"/>
                    </w:rPr>
                    <w:t>下</w:t>
                  </w:r>
                  <w:r>
                    <w:rPr>
                      <w:rFonts w:hint="default" w:ascii="Times New Roman" w:hAnsi="Times New Roman" w:cs="Times New Roman"/>
                      <w:kern w:val="2"/>
                      <w:sz w:val="21"/>
                      <w:szCs w:val="21"/>
                      <w:highlight w:val="none"/>
                      <w:lang w:val="en-US" w:eastAsia="zh-CN"/>
                    </w:rPr>
                    <w:t>容器为密闭，使用过程才开封。</w:t>
                  </w:r>
                </w:p>
              </w:tc>
              <w:tc>
                <w:tcPr>
                  <w:tcW w:w="564" w:type="pct"/>
                  <w:noWrap w:val="0"/>
                  <w:vAlign w:val="center"/>
                </w:tcPr>
                <w:p w14:paraId="1E701A5B">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6F52C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02" w:type="pct"/>
                  <w:vMerge w:val="restart"/>
                  <w:noWrap w:val="0"/>
                  <w:vAlign w:val="center"/>
                </w:tcPr>
                <w:p w14:paraId="2DAF18E9">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聚焦治污设施</w:t>
                  </w:r>
                  <w:r>
                    <w:rPr>
                      <w:rFonts w:hint="eastAsia" w:ascii="Times New Roman" w:hAnsi="Times New Roman" w:eastAsia="宋体" w:cs="Times New Roman"/>
                      <w:sz w:val="21"/>
                      <w:szCs w:val="21"/>
                      <w:highlight w:val="none"/>
                      <w:shd w:val="clear" w:color="auto" w:fill="FFFFFF"/>
                      <w:lang w:eastAsia="zh-CN"/>
                    </w:rPr>
                    <w:t>“</w:t>
                  </w:r>
                  <w:r>
                    <w:rPr>
                      <w:rFonts w:hint="default" w:ascii="Times New Roman" w:hAnsi="Times New Roman" w:cs="Times New Roman"/>
                      <w:sz w:val="21"/>
                      <w:szCs w:val="21"/>
                      <w:highlight w:val="none"/>
                      <w:shd w:val="clear" w:color="auto" w:fill="FFFFFF"/>
                    </w:rPr>
                    <w:t>三率</w:t>
                  </w:r>
                  <w:r>
                    <w:rPr>
                      <w:rFonts w:hint="eastAsia" w:ascii="Times New Roman" w:hAnsi="Times New Roman" w:eastAsia="宋体" w:cs="Times New Roman"/>
                      <w:sz w:val="21"/>
                      <w:szCs w:val="21"/>
                      <w:highlight w:val="none"/>
                      <w:shd w:val="clear" w:color="auto" w:fill="FFFFFF"/>
                      <w:lang w:eastAsia="zh-CN"/>
                    </w:rPr>
                    <w:t>”</w:t>
                  </w:r>
                  <w:r>
                    <w:rPr>
                      <w:rFonts w:hint="default" w:ascii="Times New Roman" w:hAnsi="Times New Roman" w:cs="Times New Roman"/>
                      <w:sz w:val="21"/>
                      <w:szCs w:val="21"/>
                      <w:highlight w:val="none"/>
                      <w:shd w:val="clear" w:color="auto" w:fill="FFFFFF"/>
                    </w:rPr>
                    <w:t>，提升综合治理效率</w:t>
                  </w:r>
                </w:p>
              </w:tc>
              <w:tc>
                <w:tcPr>
                  <w:tcW w:w="2108" w:type="pct"/>
                  <w:noWrap w:val="0"/>
                  <w:vAlign w:val="center"/>
                </w:tcPr>
                <w:p w14:paraId="131CDE6A">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按照规定期限组织企业对现有</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废气收集率、治理设施同步运行率和去除率开展自查，重点关注单一采用光氧化、光催化、低温等离子、一次性活性炭吸附、喷淋吸收等工艺的治理设施。对达不到要求的</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收集、治理设施进行更换或升级改造，确保实现达标排放。除恶臭异味治理外，一般不采用低温等离子、光催化、光氧化等技术。</w:t>
                  </w:r>
                </w:p>
              </w:tc>
              <w:tc>
                <w:tcPr>
                  <w:tcW w:w="1524" w:type="pct"/>
                  <w:noWrap w:val="0"/>
                  <w:vAlign w:val="center"/>
                </w:tcPr>
                <w:p w14:paraId="200029A1">
                  <w:pPr>
                    <w:widowControl w:val="0"/>
                    <w:spacing w:line="340" w:lineRule="exact"/>
                    <w:ind w:firstLine="0" w:firstLineChars="0"/>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项目产生有机废气拟配套二级活性炭吸附装置，治理达标后的废气通过15m的排气筒排出。</w:t>
                  </w:r>
                </w:p>
              </w:tc>
              <w:tc>
                <w:tcPr>
                  <w:tcW w:w="564" w:type="pct"/>
                  <w:noWrap w:val="0"/>
                  <w:vAlign w:val="center"/>
                </w:tcPr>
                <w:p w14:paraId="6C027A02">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符合</w:t>
                  </w:r>
                </w:p>
              </w:tc>
            </w:tr>
            <w:tr w14:paraId="1D014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02" w:type="pct"/>
                  <w:vMerge w:val="continue"/>
                  <w:noWrap w:val="0"/>
                  <w:vAlign w:val="center"/>
                </w:tcPr>
                <w:p w14:paraId="62D96B53">
                  <w:pPr>
                    <w:pStyle w:val="22"/>
                    <w:spacing w:line="340" w:lineRule="exact"/>
                    <w:ind w:firstLine="0" w:firstLineChars="0"/>
                    <w:rPr>
                      <w:rFonts w:hint="default" w:ascii="Times New Roman" w:hAnsi="Times New Roman" w:cs="Times New Roman"/>
                      <w:highlight w:val="none"/>
                    </w:rPr>
                  </w:pPr>
                </w:p>
              </w:tc>
              <w:tc>
                <w:tcPr>
                  <w:tcW w:w="2108" w:type="pct"/>
                  <w:noWrap w:val="0"/>
                  <w:vAlign w:val="center"/>
                </w:tcPr>
                <w:p w14:paraId="27FCCB85">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按照</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应收尽收</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w:t>
                  </w:r>
                </w:p>
              </w:tc>
              <w:tc>
                <w:tcPr>
                  <w:tcW w:w="1524" w:type="pct"/>
                  <w:noWrap w:val="0"/>
                  <w:vAlign w:val="center"/>
                </w:tcPr>
                <w:p w14:paraId="32FAEC73">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废气收集设施拟设计收集效率为80%，符合要求，按要求建立相关台账。</w:t>
                  </w:r>
                </w:p>
                <w:p w14:paraId="2906C305">
                  <w:pPr>
                    <w:pStyle w:val="22"/>
                    <w:spacing w:line="340" w:lineRule="exact"/>
                    <w:ind w:firstLine="0" w:firstLineChars="0"/>
                    <w:rPr>
                      <w:rFonts w:hint="default" w:ascii="Times New Roman" w:hAnsi="Times New Roman" w:cs="Times New Roman"/>
                      <w:szCs w:val="21"/>
                      <w:highlight w:val="none"/>
                      <w:lang w:val="en-US" w:eastAsia="zh-CN"/>
                    </w:rPr>
                  </w:pPr>
                </w:p>
              </w:tc>
              <w:tc>
                <w:tcPr>
                  <w:tcW w:w="564" w:type="pct"/>
                  <w:noWrap w:val="0"/>
                  <w:vAlign w:val="center"/>
                </w:tcPr>
                <w:p w14:paraId="7F9D4761">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符合</w:t>
                  </w:r>
                </w:p>
              </w:tc>
            </w:tr>
            <w:tr w14:paraId="76CA8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02" w:type="pct"/>
                  <w:vMerge w:val="continue"/>
                  <w:noWrap w:val="0"/>
                  <w:vAlign w:val="center"/>
                </w:tcPr>
                <w:p w14:paraId="0CEAF196">
                  <w:pPr>
                    <w:pStyle w:val="22"/>
                    <w:spacing w:line="340" w:lineRule="exact"/>
                    <w:ind w:firstLine="0" w:firstLineChars="0"/>
                    <w:rPr>
                      <w:rFonts w:hint="default" w:ascii="Times New Roman" w:hAnsi="Times New Roman" w:cs="Times New Roman"/>
                      <w:szCs w:val="21"/>
                      <w:highlight w:val="none"/>
                      <w:lang w:val="en-US" w:eastAsia="zh-CN"/>
                    </w:rPr>
                  </w:pPr>
                </w:p>
              </w:tc>
              <w:tc>
                <w:tcPr>
                  <w:tcW w:w="2108" w:type="pct"/>
                  <w:noWrap w:val="0"/>
                  <w:vAlign w:val="center"/>
                </w:tcPr>
                <w:p w14:paraId="3D1546A5">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将无组织排放转变为有组织排放进行控制，优先采用密闭设备、在密闭空间中操作或采用全密闭集气罩收集方式；对于采用局部集气罩的，应根据废气排放特点合理选择收集点位，距集气罩开口面最远处的</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1524" w:type="pct"/>
                  <w:noWrap w:val="0"/>
                  <w:vAlign w:val="center"/>
                </w:tcPr>
                <w:p w14:paraId="43C475C2">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项目产生有机废气的印刷车间</w:t>
                  </w:r>
                  <w:r>
                    <w:rPr>
                      <w:rFonts w:hint="eastAsia" w:ascii="Times New Roman" w:hAnsi="Times New Roman" w:cs="Times New Roman"/>
                      <w:szCs w:val="21"/>
                      <w:highlight w:val="none"/>
                      <w:lang w:val="en-US" w:eastAsia="zh-CN"/>
                    </w:rPr>
                    <w:t>及高温机位于</w:t>
                  </w:r>
                  <w:r>
                    <w:rPr>
                      <w:rFonts w:hint="default" w:ascii="Times New Roman" w:hAnsi="Times New Roman" w:cs="Times New Roman"/>
                      <w:szCs w:val="21"/>
                      <w:highlight w:val="none"/>
                      <w:lang w:val="en-US" w:eastAsia="zh-CN"/>
                    </w:rPr>
                    <w:t>密闭</w:t>
                  </w:r>
                  <w:r>
                    <w:rPr>
                      <w:rFonts w:hint="eastAsia" w:ascii="Times New Roman" w:hAnsi="Times New Roman" w:cs="Times New Roman"/>
                      <w:szCs w:val="21"/>
                      <w:highlight w:val="none"/>
                      <w:lang w:val="en-US" w:eastAsia="zh-CN"/>
                    </w:rPr>
                    <w:t>厂房之内</w:t>
                  </w:r>
                  <w:r>
                    <w:rPr>
                      <w:rFonts w:hint="default" w:ascii="Times New Roman" w:hAnsi="Times New Roman" w:cs="Times New Roman"/>
                      <w:szCs w:val="21"/>
                      <w:highlight w:val="none"/>
                      <w:lang w:val="en-US" w:eastAsia="zh-CN"/>
                    </w:rPr>
                    <w:t>，印刷废气采用集气罩收集，废气接入</w:t>
                  </w:r>
                  <w:r>
                    <w:rPr>
                      <w:rFonts w:hint="eastAsia" w:ascii="Times New Roman" w:hAnsi="Times New Roman" w:cs="Times New Roman"/>
                      <w:szCs w:val="21"/>
                      <w:highlight w:val="none"/>
                      <w:lang w:val="en-US" w:eastAsia="zh-CN"/>
                    </w:rPr>
                    <w:t>二级</w:t>
                  </w:r>
                  <w:r>
                    <w:rPr>
                      <w:rFonts w:hint="default" w:ascii="Times New Roman" w:hAnsi="Times New Roman" w:cs="Times New Roman"/>
                      <w:szCs w:val="21"/>
                      <w:highlight w:val="none"/>
                      <w:lang w:val="en-US" w:eastAsia="zh-CN"/>
                    </w:rPr>
                    <w:t>活性炭吸附设施处理。</w:t>
                  </w:r>
                </w:p>
              </w:tc>
              <w:tc>
                <w:tcPr>
                  <w:tcW w:w="564" w:type="pct"/>
                  <w:noWrap w:val="0"/>
                  <w:vAlign w:val="center"/>
                </w:tcPr>
                <w:p w14:paraId="7909D106">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符合</w:t>
                  </w:r>
                </w:p>
              </w:tc>
            </w:tr>
            <w:tr w14:paraId="244D1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02" w:type="pct"/>
                  <w:vMerge w:val="continue"/>
                  <w:noWrap w:val="0"/>
                  <w:vAlign w:val="center"/>
                </w:tcPr>
                <w:p w14:paraId="373471EA">
                  <w:pPr>
                    <w:pStyle w:val="22"/>
                    <w:spacing w:line="340" w:lineRule="exact"/>
                    <w:ind w:firstLine="0" w:firstLineChars="0"/>
                    <w:rPr>
                      <w:rFonts w:hint="default" w:ascii="Times New Roman" w:hAnsi="Times New Roman" w:cs="Times New Roman"/>
                      <w:highlight w:val="none"/>
                    </w:rPr>
                  </w:pPr>
                </w:p>
              </w:tc>
              <w:tc>
                <w:tcPr>
                  <w:tcW w:w="2108" w:type="pct"/>
                  <w:noWrap w:val="0"/>
                  <w:vAlign w:val="center"/>
                </w:tcPr>
                <w:p w14:paraId="6A6E5703">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按照与生产设备</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同启同停</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的原则提升治理设施运行率。根据处理工艺要求，在处理设施达到正常运行条件后方可启动生产设备，在生产设备停止、残留</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废气收集处理完毕后，方可停运处理设施。</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524" w:type="pct"/>
                  <w:noWrap w:val="0"/>
                  <w:vAlign w:val="center"/>
                </w:tcPr>
                <w:p w14:paraId="16D1B170">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项目废气净化设施与其配套工艺</w:t>
                  </w:r>
                  <w:r>
                    <w:rPr>
                      <w:rFonts w:hint="eastAsia" w:ascii="Times New Roman" w:hAnsi="Times New Roman" w:cs="Times New Roman"/>
                      <w:szCs w:val="21"/>
                      <w:highlight w:val="none"/>
                      <w:lang w:val="en-US" w:eastAsia="zh-CN"/>
                    </w:rPr>
                    <w:t>设备</w:t>
                  </w:r>
                  <w:r>
                    <w:rPr>
                      <w:rFonts w:hint="default" w:ascii="Times New Roman" w:hAnsi="Times New Roman" w:cs="Times New Roman"/>
                      <w:szCs w:val="21"/>
                      <w:highlight w:val="none"/>
                      <w:lang w:val="en-US" w:eastAsia="zh-CN"/>
                    </w:rPr>
                    <w:t>作业时间同步开启，并延迟废气净化设施关闭时间，确保废气收集净化。</w:t>
                  </w:r>
                </w:p>
              </w:tc>
              <w:tc>
                <w:tcPr>
                  <w:tcW w:w="564" w:type="pct"/>
                  <w:noWrap w:val="0"/>
                  <w:vAlign w:val="center"/>
                </w:tcPr>
                <w:p w14:paraId="3E930A7B">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符合</w:t>
                  </w:r>
                </w:p>
              </w:tc>
            </w:tr>
            <w:tr w14:paraId="2207D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02" w:type="pct"/>
                  <w:vMerge w:val="continue"/>
                  <w:noWrap w:val="0"/>
                  <w:vAlign w:val="center"/>
                </w:tcPr>
                <w:p w14:paraId="749D7C60">
                  <w:pPr>
                    <w:pStyle w:val="22"/>
                    <w:spacing w:line="340" w:lineRule="exact"/>
                    <w:ind w:firstLine="0" w:firstLineChars="0"/>
                    <w:rPr>
                      <w:rFonts w:hint="default" w:ascii="Times New Roman" w:hAnsi="Times New Roman" w:cs="Times New Roman"/>
                      <w:szCs w:val="21"/>
                      <w:highlight w:val="none"/>
                      <w:lang w:val="en-US" w:eastAsia="zh-CN"/>
                    </w:rPr>
                  </w:pPr>
                </w:p>
              </w:tc>
              <w:tc>
                <w:tcPr>
                  <w:tcW w:w="2108" w:type="pct"/>
                  <w:noWrap w:val="0"/>
                  <w:vAlign w:val="center"/>
                </w:tcPr>
                <w:p w14:paraId="4029A685">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按照</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适宜高效</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的原则提高治理设施去除率，不得稀释排放。企业新建治污设施或对现有治污设施实施改造，应依据排放废气特征、</w:t>
                  </w:r>
                  <w:r>
                    <w:rPr>
                      <w:rFonts w:hint="eastAsia" w:ascii="Times New Roman" w:hAnsi="Times New Roman" w:cs="Times New Roman"/>
                      <w:szCs w:val="21"/>
                      <w:highlight w:val="none"/>
                      <w:lang w:val="en-US" w:eastAsia="zh-CN"/>
                    </w:rPr>
                    <w:t>VOCs</w:t>
                  </w:r>
                  <w:r>
                    <w:rPr>
                      <w:rFonts w:hint="default" w:ascii="Times New Roman" w:hAnsi="Times New Roman" w:cs="Times New Roman"/>
                      <w:szCs w:val="21"/>
                      <w:highlight w:val="none"/>
                      <w:lang w:val="en-US" w:eastAsia="zh-CN"/>
                    </w:rPr>
                    <w:t>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524" w:type="pct"/>
                  <w:noWrap w:val="0"/>
                  <w:vAlign w:val="center"/>
                </w:tcPr>
                <w:p w14:paraId="64EB37AA">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项目</w:t>
                  </w:r>
                  <w:r>
                    <w:rPr>
                      <w:rFonts w:hint="default" w:ascii="Times New Roman" w:hAnsi="Times New Roman" w:cs="Times New Roman"/>
                      <w:szCs w:val="21"/>
                      <w:highlight w:val="none"/>
                      <w:lang w:val="en-US" w:eastAsia="zh-CN"/>
                    </w:rPr>
                    <w:t>拟配套</w:t>
                  </w:r>
                  <w:r>
                    <w:rPr>
                      <w:rFonts w:hint="eastAsia" w:ascii="Times New Roman" w:hAnsi="Times New Roman" w:cs="Times New Roman"/>
                      <w:szCs w:val="21"/>
                      <w:highlight w:val="none"/>
                      <w:lang w:val="en-US" w:eastAsia="zh-CN"/>
                    </w:rPr>
                    <w:t>二级活性炭吸附装置</w:t>
                  </w:r>
                  <w:r>
                    <w:rPr>
                      <w:rFonts w:hint="default" w:ascii="Times New Roman" w:hAnsi="Times New Roman" w:cs="Times New Roman"/>
                      <w:szCs w:val="21"/>
                      <w:highlight w:val="none"/>
                      <w:lang w:val="en-US" w:eastAsia="zh-CN"/>
                    </w:rPr>
                    <w:t>，治理净化后的废气通过</w:t>
                  </w:r>
                  <w:r>
                    <w:rPr>
                      <w:rFonts w:hint="eastAsia" w:ascii="Times New Roman" w:hAnsi="Times New Roman" w:cs="Times New Roman"/>
                      <w:szCs w:val="21"/>
                      <w:highlight w:val="none"/>
                      <w:lang w:val="en-US" w:eastAsia="zh-CN"/>
                    </w:rPr>
                    <w:t>1</w:t>
                  </w:r>
                  <w:r>
                    <w:rPr>
                      <w:rFonts w:hint="default" w:ascii="Times New Roman" w:hAnsi="Times New Roman" w:cs="Times New Roman"/>
                      <w:szCs w:val="21"/>
                      <w:highlight w:val="none"/>
                      <w:lang w:val="en-US" w:eastAsia="zh-CN"/>
                    </w:rPr>
                    <w:t>5m高的排气筒排放，该设施</w:t>
                  </w:r>
                  <w:r>
                    <w:rPr>
                      <w:rFonts w:hint="eastAsia" w:ascii="Times New Roman" w:hAnsi="Times New Roman" w:cs="Times New Roman"/>
                      <w:szCs w:val="21"/>
                      <w:highlight w:val="none"/>
                      <w:lang w:val="en-US" w:eastAsia="zh-CN"/>
                    </w:rPr>
                    <w:t>能够</w:t>
                  </w:r>
                  <w:r>
                    <w:rPr>
                      <w:rFonts w:hint="default" w:ascii="Times New Roman" w:hAnsi="Times New Roman" w:cs="Times New Roman"/>
                      <w:szCs w:val="21"/>
                      <w:highlight w:val="none"/>
                      <w:lang w:val="en-US" w:eastAsia="zh-CN"/>
                    </w:rPr>
                    <w:t>高效去除有机废气，可以确保废气稳定达标。</w:t>
                  </w:r>
                </w:p>
              </w:tc>
              <w:tc>
                <w:tcPr>
                  <w:tcW w:w="564" w:type="pct"/>
                  <w:noWrap w:val="0"/>
                  <w:vAlign w:val="center"/>
                </w:tcPr>
                <w:p w14:paraId="5F15133E">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符合</w:t>
                  </w:r>
                </w:p>
              </w:tc>
            </w:tr>
          </w:tbl>
          <w:p w14:paraId="1B22AB2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综上所述，本项目的建设符合《泉州市 2020 年挥发性有机物治理攻坚实施方案》（泉环保大气〔2020〕5 号）文件的要求。</w:t>
            </w:r>
          </w:p>
          <w:p w14:paraId="3FE88C5F">
            <w:pPr>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1.4.6 与《泉州市生态环境局关于开展重点行业挥发性有机物提升</w:t>
            </w:r>
          </w:p>
          <w:p w14:paraId="23CAD41C">
            <w:pPr>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治理工作的通知》（泉环保〔2022〕89号）符合性分析</w:t>
            </w:r>
          </w:p>
          <w:p w14:paraId="61A2FF61">
            <w:pPr>
              <w:rPr>
                <w:rFonts w:hint="default" w:ascii="Times New Roman" w:hAnsi="Times New Roman" w:eastAsia="宋体" w:cs="Times New Roman"/>
                <w:b w:val="0"/>
                <w:bCs w:val="0"/>
                <w:color w:val="000000"/>
                <w:kern w:val="0"/>
                <w:sz w:val="24"/>
                <w:szCs w:val="24"/>
                <w:highlight w:val="none"/>
                <w:lang w:val="en-US" w:eastAsia="zh-CN" w:bidi="ar"/>
              </w:rPr>
            </w:pPr>
          </w:p>
          <w:p w14:paraId="731BBC52">
            <w:pPr>
              <w:spacing w:line="360" w:lineRule="auto"/>
              <w:ind w:firstLine="480" w:firstLineChars="200"/>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与《泉州市生态环境局关于开展重点行业挥发性有机物提升治理工作的通知》（泉环保</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2022</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89 号）符合性分析详见下表</w:t>
            </w:r>
            <w:r>
              <w:rPr>
                <w:rFonts w:hint="eastAsia" w:ascii="Times New Roman" w:hAnsi="Times New Roman" w:eastAsia="宋体" w:cs="Times New Roman"/>
                <w:b w:val="0"/>
                <w:bCs w:val="0"/>
                <w:color w:val="000000"/>
                <w:kern w:val="0"/>
                <w:sz w:val="24"/>
                <w:szCs w:val="24"/>
                <w:highlight w:val="none"/>
                <w:lang w:val="en-US" w:eastAsia="zh-CN" w:bidi="ar"/>
              </w:rPr>
              <w:t>1.4-7</w:t>
            </w:r>
            <w:r>
              <w:rPr>
                <w:rFonts w:hint="default" w:ascii="Times New Roman" w:hAnsi="Times New Roman" w:eastAsia="宋体" w:cs="Times New Roman"/>
                <w:b w:val="0"/>
                <w:bCs w:val="0"/>
                <w:color w:val="000000"/>
                <w:kern w:val="0"/>
                <w:sz w:val="24"/>
                <w:szCs w:val="24"/>
                <w:highlight w:val="none"/>
                <w:lang w:val="en-US" w:eastAsia="zh-CN" w:bidi="ar"/>
              </w:rPr>
              <w:t>。</w:t>
            </w:r>
          </w:p>
          <w:p w14:paraId="5BD70764">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bCs/>
                <w:sz w:val="24"/>
                <w:szCs w:val="24"/>
                <w:highlight w:val="none"/>
              </w:rPr>
              <w:t>表1</w:t>
            </w:r>
            <w:r>
              <w:rPr>
                <w:rFonts w:hint="eastAsia" w:ascii="Times New Roman" w:hAnsi="Times New Roman" w:eastAsia="宋体" w:cs="Times New Roman"/>
                <w:b/>
                <w:bCs/>
                <w:sz w:val="24"/>
                <w:szCs w:val="24"/>
                <w:highlight w:val="none"/>
                <w:lang w:val="en-US" w:eastAsia="zh-CN"/>
              </w:rPr>
              <w:t>.4-7</w:t>
            </w:r>
            <w:r>
              <w:rPr>
                <w:rFonts w:hint="default" w:ascii="Times New Roman" w:hAnsi="Times New Roman" w:eastAsia="宋体" w:cs="Times New Roman"/>
                <w:b/>
                <w:bCs/>
                <w:sz w:val="24"/>
                <w:szCs w:val="24"/>
                <w:highlight w:val="none"/>
                <w:lang w:val="en-US" w:eastAsia="zh-CN"/>
              </w:rPr>
              <w:t xml:space="preserve"> 本项目与《重点行业挥发性有机物提升治理工作的通知》符合性</w:t>
            </w:r>
            <w:r>
              <w:rPr>
                <w:rFonts w:hint="default" w:ascii="Times New Roman" w:hAnsi="Times New Roman" w:eastAsia="宋体" w:cs="Times New Roman"/>
                <w:b/>
                <w:bCs/>
                <w:sz w:val="24"/>
                <w:szCs w:val="24"/>
                <w:highlight w:val="none"/>
              </w:rPr>
              <w:t>分析对照表</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1"/>
              <w:gridCol w:w="3491"/>
              <w:gridCol w:w="2076"/>
              <w:gridCol w:w="832"/>
            </w:tblGrid>
            <w:tr w14:paraId="6E82B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47" w:type="pct"/>
                  <w:noWrap w:val="0"/>
                  <w:vAlign w:val="center"/>
                </w:tcPr>
                <w:p w14:paraId="680015CF">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生产环节</w:t>
                  </w:r>
                </w:p>
              </w:tc>
              <w:tc>
                <w:tcPr>
                  <w:tcW w:w="2374" w:type="pct"/>
                  <w:noWrap w:val="0"/>
                  <w:vAlign w:val="center"/>
                </w:tcPr>
                <w:p w14:paraId="5A69BEB0">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控制要求</w:t>
                  </w:r>
                </w:p>
              </w:tc>
              <w:tc>
                <w:tcPr>
                  <w:tcW w:w="1411" w:type="pct"/>
                  <w:noWrap w:val="0"/>
                  <w:vAlign w:val="center"/>
                </w:tcPr>
                <w:p w14:paraId="3A7B5849">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本项目情况</w:t>
                  </w:r>
                </w:p>
              </w:tc>
              <w:tc>
                <w:tcPr>
                  <w:tcW w:w="566" w:type="pct"/>
                  <w:noWrap w:val="0"/>
                  <w:vAlign w:val="center"/>
                </w:tcPr>
                <w:p w14:paraId="5D16A9AF">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符合情况</w:t>
                  </w:r>
                </w:p>
              </w:tc>
            </w:tr>
            <w:tr w14:paraId="01DE0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5" w:hRule="atLeast"/>
                <w:jc w:val="center"/>
              </w:trPr>
              <w:tc>
                <w:tcPr>
                  <w:tcW w:w="647" w:type="pct"/>
                  <w:noWrap w:val="0"/>
                  <w:vAlign w:val="center"/>
                </w:tcPr>
                <w:p w14:paraId="422150CC">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lang w:val="en-US" w:eastAsia="zh-CN"/>
                    </w:rPr>
                    <w:t>投料</w:t>
                  </w:r>
                </w:p>
              </w:tc>
              <w:tc>
                <w:tcPr>
                  <w:tcW w:w="2374" w:type="pct"/>
                  <w:noWrap w:val="0"/>
                  <w:vAlign w:val="center"/>
                </w:tcPr>
                <w:p w14:paraId="142E876F">
                  <w:pPr>
                    <w:widowControl w:val="0"/>
                    <w:spacing w:line="340" w:lineRule="exact"/>
                    <w:ind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粉状、粒状VOCs物料采用气力输送方式或采用密闭固体投料器等给料方式密闭投加</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无法密闭投加的，在密闭空间内操作，或进行局部气体收集，废气排至除尘设施、VOCs废气收集处理系统。</w:t>
                  </w:r>
                </w:p>
              </w:tc>
              <w:tc>
                <w:tcPr>
                  <w:tcW w:w="1411" w:type="pct"/>
                  <w:noWrap w:val="0"/>
                  <w:vAlign w:val="center"/>
                </w:tcPr>
                <w:p w14:paraId="75FA2355">
                  <w:pPr>
                    <w:pStyle w:val="7"/>
                    <w:spacing w:line="340" w:lineRule="exact"/>
                    <w:ind w:firstLine="0" w:firstLineChars="0"/>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不涉及</w:t>
                  </w:r>
                </w:p>
                <w:p w14:paraId="52D6C7C9">
                  <w:pPr>
                    <w:widowControl w:val="0"/>
                    <w:spacing w:line="340" w:lineRule="exact"/>
                    <w:ind w:firstLine="0" w:firstLineChars="0"/>
                    <w:rPr>
                      <w:rFonts w:hint="default" w:ascii="Times New Roman" w:hAnsi="Times New Roman" w:cs="Times New Roman"/>
                      <w:sz w:val="21"/>
                      <w:szCs w:val="21"/>
                      <w:highlight w:val="none"/>
                      <w:shd w:val="clear" w:color="auto" w:fill="FFFFFF"/>
                    </w:rPr>
                  </w:pPr>
                </w:p>
              </w:tc>
              <w:tc>
                <w:tcPr>
                  <w:tcW w:w="566" w:type="pct"/>
                  <w:noWrap w:val="0"/>
                  <w:vAlign w:val="center"/>
                </w:tcPr>
                <w:p w14:paraId="5BDFB852">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00C17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pct"/>
                  <w:noWrap w:val="0"/>
                  <w:vAlign w:val="center"/>
                </w:tcPr>
                <w:p w14:paraId="79BFBF90">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生产工序</w:t>
                  </w:r>
                </w:p>
              </w:tc>
              <w:tc>
                <w:tcPr>
                  <w:tcW w:w="2374" w:type="pct"/>
                  <w:noWrap w:val="0"/>
                  <w:vAlign w:val="center"/>
                </w:tcPr>
                <w:p w14:paraId="1C4CC820">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在塑炼、塑化、熔化、加工成型等作业中采用密闭设备或在密闭空间内操作</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废气排至VOCs废气收集处理系统</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无法密闭的，采取局部气体收集措施，废气排至VOCs废气收集处理系统。</w:t>
                  </w:r>
                </w:p>
              </w:tc>
              <w:tc>
                <w:tcPr>
                  <w:tcW w:w="1411" w:type="pct"/>
                  <w:noWrap w:val="0"/>
                  <w:vAlign w:val="center"/>
                </w:tcPr>
                <w:p w14:paraId="2F55FE0D">
                  <w:pPr>
                    <w:widowControl w:val="0"/>
                    <w:spacing w:line="340" w:lineRule="exact"/>
                    <w:ind w:firstLine="0" w:firstLineChars="0"/>
                    <w:rPr>
                      <w:rFonts w:hint="default" w:ascii="Times New Roman" w:hAnsi="Times New Roman" w:eastAsia="宋体" w:cs="Times New Roman"/>
                      <w:sz w:val="21"/>
                      <w:szCs w:val="21"/>
                      <w:highlight w:val="none"/>
                      <w:shd w:val="clear" w:color="auto" w:fill="FFFFFF"/>
                      <w:lang w:val="en-US" w:eastAsia="zh-CN"/>
                    </w:rPr>
                  </w:pPr>
                  <w:r>
                    <w:rPr>
                      <w:rFonts w:hint="eastAsia" w:ascii="Times New Roman" w:hAnsi="Times New Roman" w:eastAsia="宋体" w:cs="Times New Roman"/>
                      <w:sz w:val="21"/>
                      <w:szCs w:val="21"/>
                      <w:highlight w:val="none"/>
                      <w:shd w:val="clear" w:color="auto" w:fill="FFFFFF"/>
                      <w:lang w:val="en-US" w:eastAsia="zh-CN"/>
                    </w:rPr>
                    <w:t>项目印刷、高温成型工艺位于印刷车间内，该车间四面密闭，废气由集气罩收集至活性炭处理装置。</w:t>
                  </w:r>
                </w:p>
              </w:tc>
              <w:tc>
                <w:tcPr>
                  <w:tcW w:w="566" w:type="pct"/>
                  <w:noWrap w:val="0"/>
                  <w:vAlign w:val="center"/>
                </w:tcPr>
                <w:p w14:paraId="43DF3189">
                  <w:pPr>
                    <w:widowControl w:val="0"/>
                    <w:spacing w:line="340" w:lineRule="exact"/>
                    <w:ind w:firstLine="0" w:firstLineChars="0"/>
                    <w:jc w:val="center"/>
                    <w:rPr>
                      <w:rFonts w:hint="default" w:ascii="Times New Roman" w:hAnsi="Times New Roman" w:cs="Times New Roman"/>
                      <w:sz w:val="21"/>
                      <w:szCs w:val="21"/>
                      <w:highlight w:val="none"/>
                      <w:shd w:val="clear" w:color="auto" w:fill="FFFFFF"/>
                    </w:rPr>
                  </w:pPr>
                  <w:r>
                    <w:rPr>
                      <w:rFonts w:hint="default" w:ascii="Times New Roman" w:hAnsi="Times New Roman" w:cs="Times New Roman"/>
                      <w:sz w:val="21"/>
                      <w:szCs w:val="21"/>
                      <w:highlight w:val="none"/>
                      <w:shd w:val="clear" w:color="auto" w:fill="FFFFFF"/>
                    </w:rPr>
                    <w:t>符合</w:t>
                  </w:r>
                </w:p>
              </w:tc>
            </w:tr>
            <w:tr w14:paraId="5AEE2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47" w:type="pct"/>
                  <w:vMerge w:val="restart"/>
                  <w:noWrap w:val="0"/>
                  <w:vAlign w:val="center"/>
                </w:tcPr>
                <w:p w14:paraId="7AE4BF21">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eastAsia="zh-CN"/>
                    </w:rPr>
                  </w:pPr>
                  <w:r>
                    <w:rPr>
                      <w:rFonts w:hint="default" w:ascii="Times New Roman" w:hAnsi="Times New Roman" w:cs="Times New Roman"/>
                      <w:sz w:val="21"/>
                      <w:szCs w:val="21"/>
                      <w:highlight w:val="none"/>
                      <w:shd w:val="clear" w:color="auto" w:fill="FFFFFF"/>
                      <w:lang w:val="en-US" w:eastAsia="zh-CN"/>
                    </w:rPr>
                    <w:t>储罐</w:t>
                  </w:r>
                </w:p>
              </w:tc>
              <w:tc>
                <w:tcPr>
                  <w:tcW w:w="2374" w:type="pct"/>
                  <w:noWrap w:val="0"/>
                  <w:vAlign w:val="center"/>
                </w:tcPr>
                <w:p w14:paraId="48BC9C68">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储存真实蒸气压≥76.6kPa的挥发性有机液体储罐，采用低压罐、压力罐或其他等效措施。</w:t>
                  </w:r>
                </w:p>
              </w:tc>
              <w:tc>
                <w:tcPr>
                  <w:tcW w:w="1411" w:type="pct"/>
                  <w:noWrap w:val="0"/>
                  <w:vAlign w:val="center"/>
                </w:tcPr>
                <w:p w14:paraId="296969B2">
                  <w:pPr>
                    <w:widowControl w:val="0"/>
                    <w:spacing w:line="340" w:lineRule="exact"/>
                    <w:ind w:firstLine="0" w:firstLineChars="0"/>
                    <w:rPr>
                      <w:rFonts w:hint="default" w:ascii="Times New Roman" w:hAnsi="Times New Roman" w:cs="Times New Roman"/>
                      <w:kern w:val="2"/>
                      <w:sz w:val="21"/>
                      <w:szCs w:val="21"/>
                      <w:highlight w:val="none"/>
                      <w:lang w:val="en-US" w:eastAsia="zh-CN"/>
                    </w:rPr>
                  </w:pPr>
                  <w:r>
                    <w:rPr>
                      <w:rFonts w:hint="eastAsia" w:ascii="Times New Roman" w:hAnsi="Times New Roman" w:cs="Times New Roman"/>
                      <w:kern w:val="2"/>
                      <w:sz w:val="21"/>
                      <w:szCs w:val="21"/>
                      <w:highlight w:val="none"/>
                      <w:lang w:val="en-US" w:eastAsia="zh-CN"/>
                    </w:rPr>
                    <w:t>不涉及</w:t>
                  </w:r>
                </w:p>
              </w:tc>
              <w:tc>
                <w:tcPr>
                  <w:tcW w:w="566" w:type="pct"/>
                  <w:noWrap w:val="0"/>
                  <w:vAlign w:val="center"/>
                </w:tcPr>
                <w:p w14:paraId="3FF5F346">
                  <w:pPr>
                    <w:widowControl w:val="0"/>
                    <w:spacing w:line="340" w:lineRule="exact"/>
                    <w:ind w:firstLine="0" w:firstLineChars="0"/>
                    <w:jc w:val="center"/>
                    <w:rPr>
                      <w:rFonts w:hint="default" w:ascii="Times New Roman" w:hAnsi="Times New Roman" w:eastAsia="宋体" w:cs="Times New Roman"/>
                      <w:sz w:val="21"/>
                      <w:szCs w:val="21"/>
                      <w:highlight w:val="none"/>
                      <w:shd w:val="clear" w:color="auto" w:fill="FFFFFF"/>
                      <w:lang w:val="en-US" w:eastAsia="zh-CN"/>
                    </w:rPr>
                  </w:pPr>
                  <w:r>
                    <w:rPr>
                      <w:rFonts w:hint="default" w:ascii="Times New Roman" w:hAnsi="Times New Roman" w:cs="Times New Roman"/>
                      <w:sz w:val="21"/>
                      <w:szCs w:val="21"/>
                      <w:highlight w:val="none"/>
                      <w:shd w:val="clear" w:color="auto" w:fill="FFFFFF"/>
                      <w:lang w:val="en-US" w:eastAsia="zh-CN"/>
                    </w:rPr>
                    <w:t>符合</w:t>
                  </w:r>
                </w:p>
              </w:tc>
            </w:tr>
            <w:tr w14:paraId="5CAD0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47" w:type="pct"/>
                  <w:vMerge w:val="continue"/>
                  <w:noWrap w:val="0"/>
                  <w:vAlign w:val="center"/>
                </w:tcPr>
                <w:p w14:paraId="6B9A36AF">
                  <w:pPr>
                    <w:pStyle w:val="22"/>
                    <w:spacing w:line="340" w:lineRule="exact"/>
                    <w:ind w:firstLine="0" w:firstLineChars="0"/>
                    <w:rPr>
                      <w:rFonts w:hint="default" w:ascii="Times New Roman" w:hAnsi="Times New Roman" w:cs="Times New Roman"/>
                      <w:highlight w:val="none"/>
                    </w:rPr>
                  </w:pPr>
                </w:p>
              </w:tc>
              <w:tc>
                <w:tcPr>
                  <w:tcW w:w="2374" w:type="pct"/>
                  <w:noWrap w:val="0"/>
                  <w:vAlign w:val="center"/>
                </w:tcPr>
                <w:p w14:paraId="1F00910C">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储存真实蒸气压&gt;27.6kPa但&lt;76.6kPa且储罐容积&gt;75m</w:t>
                  </w:r>
                  <w:r>
                    <w:rPr>
                      <w:rFonts w:hint="default" w:ascii="Times New Roman" w:hAnsi="Times New Roman" w:cs="Times New Roman"/>
                      <w:szCs w:val="21"/>
                      <w:highlight w:val="none"/>
                      <w:vertAlign w:val="superscript"/>
                      <w:lang w:val="en-US" w:eastAsia="zh-CN"/>
                    </w:rPr>
                    <w:t>3</w:t>
                  </w:r>
                  <w:r>
                    <w:rPr>
                      <w:rFonts w:hint="default" w:ascii="Times New Roman" w:hAnsi="Times New Roman" w:cs="Times New Roman"/>
                      <w:szCs w:val="21"/>
                      <w:highlight w:val="none"/>
                      <w:lang w:val="en-US" w:eastAsia="zh-CN"/>
                    </w:rPr>
                    <w:t>的挥发性有机液体储罐，以及储存真实蒸气压≥5.2kPa但&lt;27.6kPa且储罐容积&gt;150m的挥发性有机液体储罐，符合下列规定之一；a</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采用固定顶罐，排放的废气收集处理达标排放，或者处理效率不低于90%；b</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采用气相平衡系统。</w:t>
                  </w:r>
                </w:p>
              </w:tc>
              <w:tc>
                <w:tcPr>
                  <w:tcW w:w="1411" w:type="pct"/>
                  <w:noWrap w:val="0"/>
                  <w:vAlign w:val="center"/>
                </w:tcPr>
                <w:p w14:paraId="7FD07F1C">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不涉及</w:t>
                  </w:r>
                </w:p>
              </w:tc>
              <w:tc>
                <w:tcPr>
                  <w:tcW w:w="566" w:type="pct"/>
                  <w:noWrap w:val="0"/>
                  <w:vAlign w:val="center"/>
                </w:tcPr>
                <w:p w14:paraId="67F1298A">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 w:val="21"/>
                      <w:szCs w:val="21"/>
                      <w:highlight w:val="none"/>
                      <w:shd w:val="clear" w:color="auto" w:fill="FFFFFF"/>
                      <w:lang w:val="en-US" w:eastAsia="zh-CN"/>
                    </w:rPr>
                    <w:t>符合</w:t>
                  </w:r>
                </w:p>
              </w:tc>
            </w:tr>
            <w:tr w14:paraId="363C4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47" w:type="pct"/>
                  <w:noWrap w:val="0"/>
                  <w:vAlign w:val="center"/>
                </w:tcPr>
                <w:p w14:paraId="4477DA82">
                  <w:pPr>
                    <w:pStyle w:val="22"/>
                    <w:spacing w:line="340" w:lineRule="exact"/>
                    <w:ind w:firstLine="0" w:firstLineChars="0"/>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装载</w:t>
                  </w:r>
                </w:p>
              </w:tc>
              <w:tc>
                <w:tcPr>
                  <w:tcW w:w="2374" w:type="pct"/>
                  <w:noWrap w:val="0"/>
                  <w:vAlign w:val="center"/>
                </w:tcPr>
                <w:p w14:paraId="2ABE1AD4">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装载物料真实蒸气压≥27.6kPa且单一装载设施的年装载量&gt;500m，以及装载物料真实蒸气压&gt;5.2kPa但&lt;27.6kPa且单一装载设施的年装载量&gt;2500m</w:t>
                  </w:r>
                  <w:r>
                    <w:rPr>
                      <w:rFonts w:hint="default" w:ascii="Times New Roman" w:hAnsi="Times New Roman" w:cs="Times New Roman"/>
                      <w:szCs w:val="21"/>
                      <w:highlight w:val="none"/>
                      <w:vertAlign w:val="superscript"/>
                      <w:lang w:val="en-US" w:eastAsia="zh-CN"/>
                    </w:rPr>
                    <w:t>3</w:t>
                  </w:r>
                  <w:r>
                    <w:rPr>
                      <w:rFonts w:hint="default" w:ascii="Times New Roman" w:hAnsi="Times New Roman" w:cs="Times New Roman"/>
                      <w:szCs w:val="21"/>
                      <w:highlight w:val="none"/>
                      <w:lang w:val="en-US" w:eastAsia="zh-CN"/>
                    </w:rPr>
                    <w:t>的，装载过程符合下列规定之一；a</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排放的废气收集处理达标排放，或者处理效率不低于90%；b</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排放的废气连接至气相平衡系统。</w:t>
                  </w:r>
                </w:p>
              </w:tc>
              <w:tc>
                <w:tcPr>
                  <w:tcW w:w="1411" w:type="pct"/>
                  <w:noWrap w:val="0"/>
                  <w:vAlign w:val="center"/>
                </w:tcPr>
                <w:p w14:paraId="38CEAE83">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不涉及</w:t>
                  </w:r>
                </w:p>
              </w:tc>
              <w:tc>
                <w:tcPr>
                  <w:tcW w:w="566" w:type="pct"/>
                  <w:noWrap w:val="0"/>
                  <w:vAlign w:val="center"/>
                </w:tcPr>
                <w:p w14:paraId="4908C2BC">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 w:val="21"/>
                      <w:szCs w:val="21"/>
                      <w:highlight w:val="none"/>
                      <w:shd w:val="clear" w:color="auto" w:fill="FFFFFF"/>
                      <w:lang w:val="en-US" w:eastAsia="zh-CN"/>
                    </w:rPr>
                    <w:t>符合</w:t>
                  </w:r>
                </w:p>
              </w:tc>
            </w:tr>
            <w:tr w14:paraId="22672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7" w:type="pct"/>
                  <w:noWrap w:val="0"/>
                  <w:vAlign w:val="center"/>
                </w:tcPr>
                <w:p w14:paraId="568C0D89">
                  <w:pPr>
                    <w:pStyle w:val="22"/>
                    <w:spacing w:line="340" w:lineRule="exact"/>
                    <w:ind w:firstLine="0" w:firstLineChars="0"/>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废水集输</w:t>
                  </w:r>
                </w:p>
              </w:tc>
              <w:tc>
                <w:tcPr>
                  <w:tcW w:w="2374" w:type="pct"/>
                  <w:noWrap w:val="0"/>
                  <w:vAlign w:val="center"/>
                </w:tcPr>
                <w:p w14:paraId="6FBFCFA4">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对于工艺过程排放的含VOCs废水，集输系统符合下列规定之一；</w:t>
                  </w:r>
                </w:p>
                <w:p w14:paraId="686E2A5C">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a</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采用密闭管道输送，接入口和排出口采取与环境空气隔离的措施；</w:t>
                  </w:r>
                </w:p>
                <w:p w14:paraId="482D810A">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b</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采用沟渠输送，若敞开液面上方100mm处VOCs检测浓度&gt;100umolmol，加盖密闭，接入口和排废水集输出口采取与环境空气隔离的措施。</w:t>
                  </w:r>
                </w:p>
              </w:tc>
              <w:tc>
                <w:tcPr>
                  <w:tcW w:w="1411" w:type="pct"/>
                  <w:noWrap w:val="0"/>
                  <w:vAlign w:val="center"/>
                </w:tcPr>
                <w:p w14:paraId="3FC48C53">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项目生产废水为不含VOCs废水。</w:t>
                  </w:r>
                </w:p>
              </w:tc>
              <w:tc>
                <w:tcPr>
                  <w:tcW w:w="566" w:type="pct"/>
                  <w:noWrap w:val="0"/>
                  <w:vAlign w:val="center"/>
                </w:tcPr>
                <w:p w14:paraId="6AE91823">
                  <w:pPr>
                    <w:pStyle w:val="22"/>
                    <w:spacing w:line="340" w:lineRule="exact"/>
                    <w:ind w:firstLine="0" w:firstLineChars="0"/>
                    <w:rPr>
                      <w:rFonts w:hint="default" w:ascii="Times New Roman" w:hAnsi="Times New Roman" w:eastAsia="Arial" w:cs="Times New Roman"/>
                      <w:snapToGrid w:val="0"/>
                      <w:color w:val="000000"/>
                      <w:kern w:val="0"/>
                      <w:sz w:val="21"/>
                      <w:szCs w:val="21"/>
                      <w:highlight w:val="none"/>
                      <w:lang w:val="en-US" w:eastAsia="zh-CN"/>
                    </w:rPr>
                  </w:pPr>
                  <w:r>
                    <w:rPr>
                      <w:rFonts w:hint="default" w:ascii="Times New Roman" w:hAnsi="Times New Roman" w:cs="Times New Roman"/>
                      <w:sz w:val="21"/>
                      <w:szCs w:val="21"/>
                      <w:highlight w:val="none"/>
                      <w:shd w:val="clear" w:color="auto" w:fill="FFFFFF"/>
                      <w:lang w:val="en-US" w:eastAsia="zh-CN"/>
                    </w:rPr>
                    <w:t>符合</w:t>
                  </w:r>
                </w:p>
              </w:tc>
            </w:tr>
            <w:tr w14:paraId="1D9ADB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7" w:type="pct"/>
                  <w:noWrap w:val="0"/>
                  <w:vAlign w:val="center"/>
                </w:tcPr>
                <w:p w14:paraId="21E39FAB">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废水储存与处理</w:t>
                  </w:r>
                </w:p>
              </w:tc>
              <w:tc>
                <w:tcPr>
                  <w:tcW w:w="2374" w:type="pct"/>
                  <w:noWrap w:val="0"/>
                  <w:vAlign w:val="center"/>
                </w:tcPr>
                <w:p w14:paraId="49C97FA4">
                  <w:pPr>
                    <w:pStyle w:val="22"/>
                    <w:spacing w:line="340" w:lineRule="exact"/>
                    <w:ind w:firstLine="0" w:firstLineChars="0"/>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含VOCs废水储存和处理设施敞开液面上方100mm处VOCs是检测浓度&gt;100umolmol，符合下列规定之一：a</w:t>
                  </w:r>
                  <w:r>
                    <w:rPr>
                      <w:rFonts w:hint="eastAsia" w:ascii="Times New Roman" w:hAnsi="Times New Roman" w:cs="Times New Roman"/>
                      <w:szCs w:val="21"/>
                      <w:highlight w:val="none"/>
                      <w:lang w:val="en-US" w:eastAsia="zh-CN"/>
                    </w:rPr>
                    <w:t>）</w:t>
                  </w:r>
                  <w:r>
                    <w:rPr>
                      <w:rFonts w:hint="default" w:ascii="Times New Roman" w:hAnsi="Times New Roman" w:cs="Times New Roman"/>
                      <w:szCs w:val="21"/>
                      <w:highlight w:val="none"/>
                      <w:lang w:val="en-US" w:eastAsia="zh-CN"/>
                    </w:rPr>
                    <w:t>采用浮动顶盖。</w:t>
                  </w:r>
                </w:p>
              </w:tc>
              <w:tc>
                <w:tcPr>
                  <w:tcW w:w="1411" w:type="pct"/>
                  <w:noWrap w:val="0"/>
                  <w:vAlign w:val="center"/>
                </w:tcPr>
                <w:p w14:paraId="440055A4">
                  <w:pPr>
                    <w:pStyle w:val="22"/>
                    <w:spacing w:line="340" w:lineRule="exact"/>
                    <w:ind w:firstLine="0" w:firstLineChars="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项目生产不含VOCs废水。</w:t>
                  </w:r>
                </w:p>
              </w:tc>
              <w:tc>
                <w:tcPr>
                  <w:tcW w:w="566" w:type="pct"/>
                  <w:noWrap w:val="0"/>
                  <w:vAlign w:val="center"/>
                </w:tcPr>
                <w:p w14:paraId="2A714744">
                  <w:pPr>
                    <w:pStyle w:val="22"/>
                    <w:spacing w:line="340" w:lineRule="exact"/>
                    <w:ind w:firstLine="0" w:firstLineChars="0"/>
                    <w:rPr>
                      <w:rFonts w:hint="default" w:ascii="Times New Roman" w:hAnsi="Times New Roman" w:eastAsia="Arial" w:cs="Times New Roman"/>
                      <w:snapToGrid w:val="0"/>
                      <w:color w:val="000000"/>
                      <w:kern w:val="0"/>
                      <w:sz w:val="21"/>
                      <w:szCs w:val="21"/>
                      <w:highlight w:val="none"/>
                      <w:lang w:val="en-US" w:eastAsia="zh-CN"/>
                    </w:rPr>
                  </w:pPr>
                  <w:r>
                    <w:rPr>
                      <w:rFonts w:hint="default" w:ascii="Times New Roman" w:hAnsi="Times New Roman" w:cs="Times New Roman"/>
                      <w:sz w:val="21"/>
                      <w:szCs w:val="21"/>
                      <w:highlight w:val="none"/>
                      <w:shd w:val="clear" w:color="auto" w:fill="FFFFFF"/>
                      <w:lang w:val="en-US" w:eastAsia="zh-CN"/>
                    </w:rPr>
                    <w:t>符合</w:t>
                  </w:r>
                </w:p>
              </w:tc>
            </w:tr>
          </w:tbl>
          <w:p w14:paraId="79732920">
            <w:pPr>
              <w:spacing w:line="360" w:lineRule="auto"/>
              <w:rPr>
                <w:rFonts w:hint="default" w:ascii="Times New Roman" w:hAnsi="Times New Roman" w:cs="Times New Roman"/>
                <w:b/>
                <w:bCs/>
                <w:sz w:val="24"/>
                <w:highlight w:val="none"/>
              </w:rPr>
            </w:pPr>
            <w:r>
              <w:rPr>
                <w:rFonts w:hint="default" w:ascii="Times New Roman" w:hAnsi="Times New Roman" w:eastAsia="宋体" w:cs="Times New Roman"/>
                <w:b/>
                <w:bCs/>
                <w:sz w:val="24"/>
                <w:highlight w:val="none"/>
                <w:lang w:val="en-US" w:eastAsia="zh-CN"/>
              </w:rPr>
              <w:t xml:space="preserve">1.4.7 </w:t>
            </w:r>
            <w:r>
              <w:rPr>
                <w:rFonts w:hint="default" w:ascii="Times New Roman" w:hAnsi="Times New Roman" w:cs="Times New Roman"/>
                <w:b/>
                <w:bCs/>
                <w:sz w:val="24"/>
                <w:highlight w:val="none"/>
              </w:rPr>
              <w:t>与《泉州市打赢蓝天保卫战三年行动计划贯彻实施方案》符合性分析</w:t>
            </w:r>
          </w:p>
          <w:p w14:paraId="1E0A8A7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sz w:val="24"/>
                <w:highlight w:val="none"/>
                <w:lang w:eastAsia="zh-CN"/>
              </w:rPr>
            </w:pPr>
            <w:r>
              <w:rPr>
                <w:rFonts w:hint="default" w:ascii="Times New Roman" w:hAnsi="Times New Roman" w:cs="Times New Roman"/>
                <w:sz w:val="24"/>
                <w:highlight w:val="none"/>
              </w:rPr>
              <w:t>项目建设与《泉州市打赢蓝天保卫战三年行动计划贯彻实施方案》</w:t>
            </w:r>
            <w:r>
              <w:rPr>
                <w:rFonts w:hint="eastAsia" w:ascii="Times New Roman" w:hAnsi="Times New Roman" w:eastAsia="宋体" w:cs="Times New Roman"/>
                <w:sz w:val="24"/>
                <w:highlight w:val="none"/>
                <w:lang w:eastAsia="zh-CN"/>
              </w:rPr>
              <w:t>（</w:t>
            </w:r>
            <w:r>
              <w:rPr>
                <w:rFonts w:hint="default" w:ascii="Times New Roman" w:hAnsi="Times New Roman" w:cs="Times New Roman"/>
                <w:sz w:val="24"/>
                <w:highlight w:val="none"/>
              </w:rPr>
              <w:t>泉政文</w:t>
            </w:r>
            <w:r>
              <w:rPr>
                <w:rFonts w:hint="eastAsia" w:ascii="Times New Roman" w:hAnsi="Times New Roman" w:eastAsia="宋体" w:cs="Times New Roman"/>
                <w:sz w:val="24"/>
                <w:highlight w:val="none"/>
                <w:lang w:eastAsia="zh-CN"/>
              </w:rPr>
              <w:t>〔</w:t>
            </w:r>
            <w:r>
              <w:rPr>
                <w:rFonts w:hint="default" w:ascii="Times New Roman" w:hAnsi="Times New Roman" w:cs="Times New Roman"/>
                <w:sz w:val="24"/>
                <w:highlight w:val="none"/>
              </w:rPr>
              <w:t>2019</w:t>
            </w:r>
            <w:r>
              <w:rPr>
                <w:rFonts w:hint="eastAsia" w:ascii="Times New Roman" w:hAnsi="Times New Roman" w:eastAsia="宋体" w:cs="Times New Roman"/>
                <w:sz w:val="24"/>
                <w:highlight w:val="none"/>
                <w:lang w:eastAsia="zh-CN"/>
              </w:rPr>
              <w:t>〕</w:t>
            </w:r>
            <w:r>
              <w:rPr>
                <w:rFonts w:hint="default" w:ascii="Times New Roman" w:hAnsi="Times New Roman" w:cs="Times New Roman"/>
                <w:sz w:val="24"/>
                <w:highlight w:val="none"/>
              </w:rPr>
              <w:t>45号</w:t>
            </w:r>
            <w:r>
              <w:rPr>
                <w:rFonts w:hint="eastAsia" w:ascii="Times New Roman" w:hAnsi="Times New Roman" w:eastAsia="宋体" w:cs="Times New Roman"/>
                <w:sz w:val="24"/>
                <w:highlight w:val="none"/>
                <w:lang w:eastAsia="zh-CN"/>
              </w:rPr>
              <w:t>）</w:t>
            </w:r>
            <w:r>
              <w:rPr>
                <w:rFonts w:hint="default" w:ascii="Times New Roman" w:hAnsi="Times New Roman" w:cs="Times New Roman"/>
                <w:sz w:val="24"/>
                <w:highlight w:val="none"/>
              </w:rPr>
              <w:t>的符合性分析见表1</w:t>
            </w:r>
            <w:r>
              <w:rPr>
                <w:rFonts w:hint="eastAsia" w:ascii="Times New Roman" w:hAnsi="Times New Roman" w:eastAsia="宋体" w:cs="Times New Roman"/>
                <w:sz w:val="24"/>
                <w:highlight w:val="none"/>
                <w:lang w:val="en-US" w:eastAsia="zh-CN"/>
              </w:rPr>
              <w:t>.4-8</w:t>
            </w:r>
            <w:r>
              <w:rPr>
                <w:rFonts w:hint="default" w:ascii="Times New Roman" w:hAnsi="Times New Roman" w:eastAsia="宋体" w:cs="Times New Roman"/>
                <w:sz w:val="24"/>
                <w:highlight w:val="none"/>
                <w:lang w:eastAsia="zh-CN"/>
              </w:rPr>
              <w:t>。</w:t>
            </w:r>
          </w:p>
          <w:p w14:paraId="0CCEA2D5">
            <w:pPr>
              <w:jc w:val="cente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表1</w:t>
            </w:r>
            <w:r>
              <w:rPr>
                <w:rFonts w:hint="eastAsia" w:ascii="Times New Roman" w:hAnsi="Times New Roman" w:eastAsia="宋体" w:cs="Times New Roman"/>
                <w:b/>
                <w:bCs/>
                <w:sz w:val="24"/>
                <w:szCs w:val="24"/>
                <w:highlight w:val="none"/>
                <w:lang w:val="en-US" w:eastAsia="zh-CN"/>
              </w:rPr>
              <w:t>.4-8</w:t>
            </w:r>
            <w:r>
              <w:rPr>
                <w:rFonts w:hint="default" w:ascii="Times New Roman" w:hAnsi="Times New Roman" w:eastAsia="宋体" w:cs="Times New Roman"/>
                <w:b/>
                <w:bCs/>
                <w:sz w:val="24"/>
                <w:szCs w:val="24"/>
                <w:highlight w:val="none"/>
                <w:lang w:val="en-US" w:eastAsia="zh-CN"/>
              </w:rPr>
              <w:t xml:space="preserve"> 项目与《泉州市打赢蓝天保卫战三年行动计划贯彻实施方案》的符合性分析</w:t>
            </w:r>
          </w:p>
          <w:tbl>
            <w:tblPr>
              <w:tblStyle w:val="17"/>
              <w:tblW w:w="73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2658"/>
              <w:gridCol w:w="2658"/>
              <w:gridCol w:w="852"/>
            </w:tblGrid>
            <w:tr w14:paraId="01FFC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Align w:val="center"/>
                </w:tcPr>
                <w:p w14:paraId="6E4979AD">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主要任务</w:t>
                  </w:r>
                </w:p>
              </w:tc>
              <w:tc>
                <w:tcPr>
                  <w:tcW w:w="2658" w:type="dxa"/>
                  <w:vAlign w:val="center"/>
                </w:tcPr>
                <w:p w14:paraId="13CDD9D0">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相关要求</w:t>
                  </w:r>
                </w:p>
              </w:tc>
              <w:tc>
                <w:tcPr>
                  <w:tcW w:w="2658" w:type="dxa"/>
                  <w:vAlign w:val="center"/>
                </w:tcPr>
                <w:p w14:paraId="5B29ACB2">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本项目情况</w:t>
                  </w:r>
                </w:p>
              </w:tc>
              <w:tc>
                <w:tcPr>
                  <w:tcW w:w="852" w:type="dxa"/>
                  <w:vAlign w:val="center"/>
                </w:tcPr>
                <w:p w14:paraId="68D301FA">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符合性</w:t>
                  </w:r>
                </w:p>
              </w:tc>
            </w:tr>
            <w:tr w14:paraId="545BD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Align w:val="center"/>
                </w:tcPr>
                <w:p w14:paraId="4BACDBED">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调整优化产业结构，推进产业绿色发展</w:t>
                  </w:r>
                </w:p>
              </w:tc>
              <w:tc>
                <w:tcPr>
                  <w:tcW w:w="2658" w:type="dxa"/>
                  <w:vAlign w:val="center"/>
                </w:tcPr>
                <w:p w14:paraId="417DDEB4">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严格控制高VOC</w:t>
                  </w:r>
                  <w:r>
                    <w:rPr>
                      <w:rFonts w:hint="default" w:ascii="Times New Roman" w:hAnsi="Times New Roman" w:cs="Times New Roman"/>
                      <w:szCs w:val="21"/>
                      <w:highlight w:val="none"/>
                      <w:vertAlign w:val="subscript"/>
                    </w:rPr>
                    <w:t>S</w:t>
                  </w:r>
                  <w:r>
                    <w:rPr>
                      <w:rFonts w:hint="default" w:ascii="Times New Roman" w:hAnsi="Times New Roman" w:cs="Times New Roman"/>
                      <w:szCs w:val="21"/>
                      <w:highlight w:val="none"/>
                    </w:rPr>
                    <w:t>排放的项目建设，相关新建项目必须进入工业园区。</w:t>
                  </w:r>
                  <w:bookmarkStart w:id="2" w:name="_Toc536681594"/>
                  <w:r>
                    <w:rPr>
                      <w:rFonts w:hint="default" w:ascii="Times New Roman" w:hAnsi="Times New Roman" w:cs="Times New Roman"/>
                      <w:szCs w:val="21"/>
                      <w:highlight w:val="none"/>
                    </w:rPr>
                    <w:t>严控</w:t>
                  </w:r>
                  <w:bookmarkEnd w:id="2"/>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两高</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行业产能。加大落后产能淘汰和过剩产能压减。</w:t>
                  </w:r>
                </w:p>
              </w:tc>
              <w:tc>
                <w:tcPr>
                  <w:tcW w:w="2658" w:type="dxa"/>
                  <w:vAlign w:val="center"/>
                </w:tcPr>
                <w:p w14:paraId="14D57470">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本项目不属于高VOC</w:t>
                  </w:r>
                  <w:r>
                    <w:rPr>
                      <w:rFonts w:hint="default" w:ascii="Times New Roman" w:hAnsi="Times New Roman" w:cs="Times New Roman"/>
                      <w:szCs w:val="21"/>
                      <w:highlight w:val="none"/>
                      <w:vertAlign w:val="subscript"/>
                    </w:rPr>
                    <w:t>S</w:t>
                  </w:r>
                  <w:r>
                    <w:rPr>
                      <w:rFonts w:hint="default" w:ascii="Times New Roman" w:hAnsi="Times New Roman" w:cs="Times New Roman"/>
                      <w:szCs w:val="21"/>
                      <w:highlight w:val="none"/>
                    </w:rPr>
                    <w:t>排放项目，且项目位于</w:t>
                  </w:r>
                  <w:r>
                    <w:rPr>
                      <w:rFonts w:hint="eastAsia" w:ascii="Times New Roman" w:hAnsi="Times New Roman" w:eastAsia="宋体" w:cs="Times New Roman"/>
                      <w:szCs w:val="21"/>
                      <w:highlight w:val="none"/>
                      <w:lang w:val="en-US" w:eastAsia="zh-CN"/>
                    </w:rPr>
                    <w:t>蓬壶</w:t>
                  </w:r>
                  <w:r>
                    <w:rPr>
                      <w:rFonts w:hint="default" w:ascii="Times New Roman" w:hAnsi="Times New Roman" w:cs="Times New Roman"/>
                      <w:szCs w:val="21"/>
                      <w:highlight w:val="none"/>
                    </w:rPr>
                    <w:t>工业区</w:t>
                  </w:r>
                  <w:r>
                    <w:rPr>
                      <w:rFonts w:hint="eastAsia" w:ascii="Times New Roman" w:hAnsi="Times New Roman" w:eastAsia="宋体" w:cs="Times New Roman"/>
                      <w:szCs w:val="21"/>
                      <w:highlight w:val="none"/>
                      <w:lang w:val="en-US" w:eastAsia="zh-CN"/>
                    </w:rPr>
                    <w:t>内</w:t>
                  </w:r>
                  <w:r>
                    <w:rPr>
                      <w:rFonts w:hint="default" w:ascii="Times New Roman" w:hAnsi="Times New Roman" w:cs="Times New Roman"/>
                      <w:szCs w:val="21"/>
                      <w:highlight w:val="none"/>
                    </w:rPr>
                    <w:t>；不属于淘汰类产业和过剩产能产业项目。</w:t>
                  </w:r>
                </w:p>
              </w:tc>
              <w:tc>
                <w:tcPr>
                  <w:tcW w:w="852" w:type="dxa"/>
                  <w:vAlign w:val="center"/>
                </w:tcPr>
                <w:p w14:paraId="5BE0A662">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14:paraId="3C711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Align w:val="center"/>
                </w:tcPr>
                <w:p w14:paraId="619BA4C6">
                  <w:pPr>
                    <w:pStyle w:val="36"/>
                    <w:adjustRightInd/>
                    <w:snapToGrid/>
                    <w:jc w:val="both"/>
                    <w:rPr>
                      <w:rFonts w:hint="default" w:ascii="Times New Roman" w:hAnsi="Times New Roman" w:cs="Times New Roman"/>
                      <w:szCs w:val="21"/>
                      <w:highlight w:val="none"/>
                    </w:rPr>
                  </w:pPr>
                  <w:bookmarkStart w:id="3" w:name="_Toc536681606"/>
                  <w:r>
                    <w:rPr>
                      <w:rFonts w:hint="default" w:ascii="Times New Roman" w:hAnsi="Times New Roman" w:cs="Times New Roman"/>
                      <w:szCs w:val="21"/>
                      <w:highlight w:val="none"/>
                    </w:rPr>
                    <w:t>加快调整能源结构，构建清洁高效能源体系</w:t>
                  </w:r>
                  <w:bookmarkEnd w:id="3"/>
                </w:p>
              </w:tc>
              <w:tc>
                <w:tcPr>
                  <w:tcW w:w="2658" w:type="dxa"/>
                  <w:vAlign w:val="center"/>
                </w:tcPr>
                <w:p w14:paraId="2B0D2D40">
                  <w:pPr>
                    <w:pStyle w:val="36"/>
                    <w:adjustRightInd/>
                    <w:snapToGrid/>
                    <w:jc w:val="both"/>
                    <w:rPr>
                      <w:rFonts w:hint="default" w:ascii="Times New Roman" w:hAnsi="Times New Roman" w:cs="Times New Roman"/>
                      <w:szCs w:val="21"/>
                      <w:highlight w:val="none"/>
                    </w:rPr>
                  </w:pPr>
                  <w:bookmarkStart w:id="4" w:name="_Toc536681607"/>
                  <w:r>
                    <w:rPr>
                      <w:rFonts w:hint="default" w:ascii="Times New Roman" w:hAnsi="Times New Roman" w:cs="Times New Roman"/>
                      <w:szCs w:val="21"/>
                      <w:highlight w:val="none"/>
                    </w:rPr>
                    <w:t>优化能源结构</w:t>
                  </w:r>
                  <w:bookmarkEnd w:id="4"/>
                  <w:r>
                    <w:rPr>
                      <w:rFonts w:hint="default" w:ascii="Times New Roman" w:hAnsi="Times New Roman" w:cs="Times New Roman"/>
                      <w:szCs w:val="21"/>
                      <w:highlight w:val="none"/>
                    </w:rPr>
                    <w:t>。清洁高效发展煤电，优先发展热电联产。</w:t>
                  </w:r>
                </w:p>
              </w:tc>
              <w:tc>
                <w:tcPr>
                  <w:tcW w:w="2658" w:type="dxa"/>
                  <w:vAlign w:val="center"/>
                </w:tcPr>
                <w:p w14:paraId="338DCA9D">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项目生产过程中使用电能，属清洁能源。</w:t>
                  </w:r>
                </w:p>
              </w:tc>
              <w:tc>
                <w:tcPr>
                  <w:tcW w:w="852" w:type="dxa"/>
                  <w:vAlign w:val="center"/>
                </w:tcPr>
                <w:p w14:paraId="61A2C51F">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14:paraId="1DDC9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vAlign w:val="center"/>
                </w:tcPr>
                <w:p w14:paraId="59DF5778">
                  <w:pPr>
                    <w:pStyle w:val="36"/>
                    <w:adjustRightInd/>
                    <w:snapToGrid/>
                    <w:jc w:val="both"/>
                    <w:rPr>
                      <w:rFonts w:hint="default" w:ascii="Times New Roman" w:hAnsi="Times New Roman" w:cs="Times New Roman"/>
                      <w:szCs w:val="21"/>
                      <w:highlight w:val="none"/>
                    </w:rPr>
                  </w:pPr>
                  <w:bookmarkStart w:id="5" w:name="_Toc536681598"/>
                  <w:r>
                    <w:rPr>
                      <w:rFonts w:hint="default" w:ascii="Times New Roman" w:hAnsi="Times New Roman" w:cs="Times New Roman"/>
                      <w:szCs w:val="21"/>
                      <w:highlight w:val="none"/>
                    </w:rPr>
                    <w:t>持续深化工业污染治理</w:t>
                  </w:r>
                  <w:bookmarkEnd w:id="5"/>
                  <w:r>
                    <w:rPr>
                      <w:rFonts w:hint="default" w:ascii="Times New Roman" w:hAnsi="Times New Roman" w:cs="Times New Roman"/>
                      <w:szCs w:val="21"/>
                      <w:highlight w:val="none"/>
                    </w:rPr>
                    <w:t>，大力削减污染物排放量</w:t>
                  </w:r>
                </w:p>
              </w:tc>
              <w:tc>
                <w:tcPr>
                  <w:tcW w:w="2658" w:type="dxa"/>
                  <w:vAlign w:val="center"/>
                </w:tcPr>
                <w:p w14:paraId="682B700E">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强化挥发性有机物</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VOCs</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整治。</w:t>
                  </w:r>
                </w:p>
              </w:tc>
              <w:tc>
                <w:tcPr>
                  <w:tcW w:w="2658" w:type="dxa"/>
                  <w:vAlign w:val="center"/>
                </w:tcPr>
                <w:p w14:paraId="6576C4A4">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项目有机废气采用切实有效的收集处理措施。</w:t>
                  </w:r>
                </w:p>
              </w:tc>
              <w:tc>
                <w:tcPr>
                  <w:tcW w:w="852" w:type="dxa"/>
                  <w:vAlign w:val="center"/>
                </w:tcPr>
                <w:p w14:paraId="1862B593">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r w14:paraId="2600A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14:paraId="32438D7A">
                  <w:pPr>
                    <w:pStyle w:val="36"/>
                    <w:adjustRightInd/>
                    <w:snapToGrid/>
                    <w:rPr>
                      <w:rFonts w:hint="default" w:ascii="Times New Roman" w:hAnsi="Times New Roman" w:cs="Times New Roman"/>
                      <w:szCs w:val="21"/>
                      <w:highlight w:val="none"/>
                    </w:rPr>
                  </w:pPr>
                </w:p>
              </w:tc>
              <w:tc>
                <w:tcPr>
                  <w:tcW w:w="2658" w:type="dxa"/>
                  <w:vAlign w:val="center"/>
                </w:tcPr>
                <w:p w14:paraId="6497413B">
                  <w:pPr>
                    <w:autoSpaceDE w:val="0"/>
                    <w:autoSpaceDN w:val="0"/>
                    <w:spacing w:line="340" w:lineRule="exact"/>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强化工业企业无组织排放管控。</w:t>
                  </w:r>
                </w:p>
              </w:tc>
              <w:tc>
                <w:tcPr>
                  <w:tcW w:w="2658" w:type="dxa"/>
                  <w:vAlign w:val="center"/>
                </w:tcPr>
                <w:p w14:paraId="19AE7251">
                  <w:pPr>
                    <w:pStyle w:val="36"/>
                    <w:adjustRightInd/>
                    <w:snapToGrid/>
                    <w:jc w:val="both"/>
                    <w:rPr>
                      <w:rFonts w:hint="default" w:ascii="Times New Roman" w:hAnsi="Times New Roman" w:cs="Times New Roman"/>
                      <w:szCs w:val="21"/>
                      <w:highlight w:val="none"/>
                    </w:rPr>
                  </w:pPr>
                  <w:r>
                    <w:rPr>
                      <w:rFonts w:hint="default" w:ascii="Times New Roman" w:hAnsi="Times New Roman" w:cs="Times New Roman"/>
                      <w:szCs w:val="21"/>
                      <w:highlight w:val="none"/>
                    </w:rPr>
                    <w:t>项目有机废气配套收集系统，采用活性炭吸附处理，严格控制无组织排放。</w:t>
                  </w:r>
                </w:p>
              </w:tc>
              <w:tc>
                <w:tcPr>
                  <w:tcW w:w="852" w:type="dxa"/>
                  <w:vAlign w:val="center"/>
                </w:tcPr>
                <w:p w14:paraId="546446E5">
                  <w:pPr>
                    <w:pStyle w:val="36"/>
                    <w:adjustRightInd/>
                    <w:snapToGrid/>
                    <w:rPr>
                      <w:rFonts w:hint="default" w:ascii="Times New Roman" w:hAnsi="Times New Roman" w:cs="Times New Roman"/>
                      <w:szCs w:val="21"/>
                      <w:highlight w:val="none"/>
                    </w:rPr>
                  </w:pPr>
                  <w:r>
                    <w:rPr>
                      <w:rFonts w:hint="default" w:ascii="Times New Roman" w:hAnsi="Times New Roman" w:cs="Times New Roman"/>
                      <w:szCs w:val="21"/>
                      <w:highlight w:val="none"/>
                    </w:rPr>
                    <w:t>符合</w:t>
                  </w:r>
                </w:p>
              </w:tc>
            </w:tr>
          </w:tbl>
          <w:p w14:paraId="76BB04DC">
            <w:pPr>
              <w:spacing w:before="120" w:beforeLines="50"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由表</w:t>
            </w:r>
            <w:r>
              <w:rPr>
                <w:rFonts w:hint="eastAsia" w:ascii="Times New Roman" w:hAnsi="Times New Roman" w:eastAsia="宋体" w:cs="Times New Roman"/>
                <w:sz w:val="24"/>
                <w:highlight w:val="none"/>
                <w:lang w:val="en-US" w:eastAsia="zh-CN"/>
              </w:rPr>
              <w:t>1.4-8</w:t>
            </w:r>
            <w:r>
              <w:rPr>
                <w:rFonts w:hint="default" w:ascii="Times New Roman" w:hAnsi="Times New Roman" w:cs="Times New Roman"/>
                <w:sz w:val="24"/>
                <w:highlight w:val="none"/>
              </w:rPr>
              <w:t>可知，本项目建设符合《泉州市打赢蓝天保卫战三年行动计划贯彻实施方案》。</w:t>
            </w:r>
          </w:p>
          <w:p w14:paraId="533D9631">
            <w:pPr>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eastAsia="宋体" w:cs="Times New Roman"/>
                <w:b/>
                <w:bCs/>
                <w:color w:val="000000"/>
                <w:kern w:val="0"/>
                <w:sz w:val="28"/>
                <w:szCs w:val="28"/>
                <w:highlight w:val="none"/>
                <w:lang w:val="en-US" w:eastAsia="zh-CN" w:bidi="ar"/>
              </w:rPr>
              <w:t>1.5 与生态功能区划符合性分析</w:t>
            </w:r>
          </w:p>
          <w:p w14:paraId="4E6B5854">
            <w:pPr>
              <w:pStyle w:val="39"/>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根据《永春县生态功能区划》</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详见附图1</w:t>
            </w:r>
            <w:r>
              <w:rPr>
                <w:rFonts w:hint="eastAsia" w:ascii="Times New Roman" w:hAnsi="Times New Roman" w:eastAsia="宋体" w:cs="Times New Roman"/>
                <w:szCs w:val="21"/>
                <w:highlight w:val="none"/>
                <w:lang w:val="en-US" w:eastAsia="zh-CN"/>
              </w:rPr>
              <w:t>2</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，项目所在区域的生态功能区划属于</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永春城镇工业建设与视域景观生态功能小区（410152502）</w:t>
            </w: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，主导功能</w:t>
            </w:r>
            <w:r>
              <w:rPr>
                <w:rFonts w:hint="eastAsia" w:ascii="Times New Roman" w:hAnsi="Times New Roman" w:eastAsia="宋体" w:cs="Times New Roman"/>
                <w:szCs w:val="21"/>
                <w:highlight w:val="none"/>
                <w:lang w:val="en-US" w:eastAsia="zh-CN"/>
              </w:rPr>
              <w:t>为</w:t>
            </w:r>
            <w:r>
              <w:rPr>
                <w:rFonts w:hint="default" w:ascii="Times New Roman" w:hAnsi="Times New Roman" w:cs="Times New Roman"/>
                <w:szCs w:val="21"/>
                <w:highlight w:val="none"/>
              </w:rPr>
              <w:t>生态城镇与绿色工业建设，视域景观；辅助功能</w:t>
            </w:r>
            <w:r>
              <w:rPr>
                <w:rFonts w:hint="eastAsia" w:ascii="Times New Roman" w:hAnsi="Times New Roman" w:eastAsia="宋体" w:cs="Times New Roman"/>
                <w:szCs w:val="21"/>
                <w:highlight w:val="none"/>
                <w:lang w:val="en-US" w:eastAsia="zh-CN"/>
              </w:rPr>
              <w:t>为</w:t>
            </w:r>
            <w:r>
              <w:rPr>
                <w:rFonts w:hint="default" w:ascii="Times New Roman" w:hAnsi="Times New Roman" w:cs="Times New Roman"/>
                <w:szCs w:val="21"/>
                <w:highlight w:val="none"/>
              </w:rPr>
              <w:t>污水处理，生态农业。本项目为污染较小的工业企业，其建设性质与该区域生态功能区划相符合。</w:t>
            </w:r>
          </w:p>
          <w:p w14:paraId="7BCE19A3">
            <w:pPr>
              <w:rPr>
                <w:rFonts w:hint="default" w:ascii="Times New Roman" w:hAnsi="Times New Roman" w:eastAsia="宋体" w:cs="Times New Roman"/>
                <w:b w:val="0"/>
                <w:bCs w:val="0"/>
                <w:color w:val="000000"/>
                <w:kern w:val="0"/>
                <w:sz w:val="24"/>
                <w:szCs w:val="24"/>
                <w:highlight w:val="none"/>
                <w:lang w:val="en-US" w:eastAsia="zh-CN" w:bidi="ar"/>
              </w:rPr>
            </w:pPr>
          </w:p>
        </w:tc>
      </w:tr>
    </w:tbl>
    <w:p w14:paraId="3549BA9D">
      <w:pPr>
        <w:rPr>
          <w:highlight w:val="none"/>
        </w:rPr>
      </w:pPr>
    </w:p>
    <w:p w14:paraId="24FB406C">
      <w:pPr>
        <w:rPr>
          <w:highlight w:val="none"/>
        </w:rPr>
        <w:sectPr>
          <w:pgSz w:w="11906" w:h="16839"/>
          <w:pgMar w:top="1431" w:right="1508" w:bottom="1185" w:left="1508" w:header="0" w:footer="916" w:gutter="0"/>
          <w:pgBorders>
            <w:top w:val="none" w:sz="0" w:space="0"/>
            <w:left w:val="none" w:sz="0" w:space="0"/>
            <w:bottom w:val="none" w:sz="0" w:space="0"/>
            <w:right w:val="none" w:sz="0" w:space="0"/>
          </w:pgBorders>
          <w:pgNumType w:fmt="decimal" w:start="1"/>
          <w:cols w:space="720" w:num="1"/>
        </w:sectPr>
      </w:pPr>
    </w:p>
    <w:p w14:paraId="4FD70AD4">
      <w:pPr>
        <w:spacing w:before="94" w:line="391" w:lineRule="exact"/>
        <w:ind w:left="3017"/>
        <w:outlineLvl w:val="0"/>
        <w:rPr>
          <w:rFonts w:ascii="黑体" w:hAnsi="黑体" w:eastAsia="黑体" w:cs="黑体"/>
          <w:sz w:val="29"/>
          <w:szCs w:val="29"/>
          <w:highlight w:val="none"/>
        </w:rPr>
      </w:pPr>
      <w:bookmarkStart w:id="6" w:name="_Toc2696"/>
      <w:r>
        <w:rPr>
          <w:rFonts w:ascii="黑体" w:hAnsi="黑体" w:eastAsia="黑体" w:cs="黑体"/>
          <w:spacing w:val="11"/>
          <w:position w:val="2"/>
          <w:sz w:val="29"/>
          <w:szCs w:val="29"/>
          <w:highlight w:val="none"/>
        </w:rPr>
        <w:t>二</w:t>
      </w:r>
      <w:r>
        <w:rPr>
          <w:rFonts w:ascii="黑体" w:hAnsi="黑体" w:eastAsia="黑体" w:cs="黑体"/>
          <w:spacing w:val="8"/>
          <w:position w:val="2"/>
          <w:sz w:val="29"/>
          <w:szCs w:val="29"/>
          <w:highlight w:val="none"/>
        </w:rPr>
        <w:t>、建设项目工程分析</w:t>
      </w:r>
      <w:bookmarkEnd w:id="6"/>
    </w:p>
    <w:p w14:paraId="7BCB748F">
      <w:pPr>
        <w:spacing w:line="233" w:lineRule="exact"/>
        <w:rPr>
          <w:highlight w:val="none"/>
        </w:rPr>
      </w:pPr>
    </w:p>
    <w:tbl>
      <w:tblPr>
        <w:tblStyle w:val="21"/>
        <w:tblW w:w="9006"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8387"/>
      </w:tblGrid>
      <w:tr w14:paraId="3BE2F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19" w:type="dxa"/>
            <w:tcBorders>
              <w:left w:val="single" w:color="000000" w:sz="6" w:space="0"/>
            </w:tcBorders>
            <w:vAlign w:val="top"/>
          </w:tcPr>
          <w:p w14:paraId="410DCD91">
            <w:pPr>
              <w:spacing w:line="254" w:lineRule="auto"/>
              <w:rPr>
                <w:rFonts w:ascii="Arial"/>
                <w:sz w:val="21"/>
                <w:highlight w:val="none"/>
              </w:rPr>
            </w:pPr>
          </w:p>
          <w:p w14:paraId="14CE5609">
            <w:pPr>
              <w:spacing w:line="254" w:lineRule="auto"/>
              <w:rPr>
                <w:rFonts w:ascii="Arial"/>
                <w:sz w:val="21"/>
                <w:highlight w:val="none"/>
              </w:rPr>
            </w:pPr>
          </w:p>
          <w:p w14:paraId="1BF79AF2">
            <w:pPr>
              <w:spacing w:line="254" w:lineRule="auto"/>
              <w:rPr>
                <w:rFonts w:ascii="Arial"/>
                <w:sz w:val="21"/>
                <w:highlight w:val="none"/>
              </w:rPr>
            </w:pPr>
          </w:p>
          <w:p w14:paraId="6DBF7C16">
            <w:pPr>
              <w:spacing w:line="254" w:lineRule="auto"/>
              <w:rPr>
                <w:rFonts w:ascii="Arial"/>
                <w:sz w:val="21"/>
                <w:highlight w:val="none"/>
              </w:rPr>
            </w:pPr>
          </w:p>
          <w:p w14:paraId="736960A0">
            <w:pPr>
              <w:spacing w:line="254" w:lineRule="auto"/>
              <w:rPr>
                <w:rFonts w:ascii="Arial"/>
                <w:sz w:val="21"/>
                <w:highlight w:val="none"/>
              </w:rPr>
            </w:pPr>
          </w:p>
          <w:p w14:paraId="41BD51C4">
            <w:pPr>
              <w:spacing w:line="255" w:lineRule="auto"/>
              <w:rPr>
                <w:rFonts w:ascii="Arial"/>
                <w:sz w:val="21"/>
                <w:highlight w:val="none"/>
              </w:rPr>
            </w:pPr>
          </w:p>
          <w:p w14:paraId="45376AC4">
            <w:pPr>
              <w:spacing w:line="255" w:lineRule="auto"/>
              <w:rPr>
                <w:rFonts w:ascii="Arial"/>
                <w:sz w:val="21"/>
                <w:highlight w:val="none"/>
              </w:rPr>
            </w:pPr>
          </w:p>
          <w:p w14:paraId="10F35FFC">
            <w:pPr>
              <w:spacing w:line="255" w:lineRule="auto"/>
              <w:rPr>
                <w:rFonts w:ascii="Arial"/>
                <w:sz w:val="21"/>
                <w:highlight w:val="none"/>
              </w:rPr>
            </w:pPr>
          </w:p>
          <w:p w14:paraId="5CB151AE">
            <w:pPr>
              <w:spacing w:line="255" w:lineRule="auto"/>
              <w:rPr>
                <w:rFonts w:ascii="Arial"/>
                <w:sz w:val="21"/>
                <w:highlight w:val="none"/>
              </w:rPr>
            </w:pPr>
          </w:p>
          <w:p w14:paraId="0D5B3325">
            <w:pPr>
              <w:spacing w:before="65" w:line="271" w:lineRule="exact"/>
              <w:ind w:left="205"/>
              <w:rPr>
                <w:rFonts w:ascii="宋体" w:hAnsi="宋体" w:eastAsia="宋体" w:cs="宋体"/>
                <w:sz w:val="20"/>
                <w:szCs w:val="20"/>
                <w:highlight w:val="none"/>
              </w:rPr>
            </w:pPr>
            <w:r>
              <w:rPr>
                <w:rFonts w:ascii="宋体" w:hAnsi="宋体" w:eastAsia="宋体" w:cs="宋体"/>
                <w:spacing w:val="4"/>
                <w:position w:val="4"/>
                <w:sz w:val="20"/>
                <w:szCs w:val="20"/>
                <w:highlight w:val="none"/>
              </w:rPr>
              <w:t>建</w:t>
            </w:r>
            <w:r>
              <w:rPr>
                <w:rFonts w:ascii="宋体" w:hAnsi="宋体" w:eastAsia="宋体" w:cs="宋体"/>
                <w:spacing w:val="3"/>
                <w:position w:val="4"/>
                <w:sz w:val="20"/>
                <w:szCs w:val="20"/>
                <w:highlight w:val="none"/>
              </w:rPr>
              <w:t>设</w:t>
            </w:r>
          </w:p>
          <w:p w14:paraId="63AB822C">
            <w:pPr>
              <w:spacing w:line="228" w:lineRule="auto"/>
              <w:ind w:left="227"/>
              <w:rPr>
                <w:rFonts w:ascii="宋体" w:hAnsi="宋体" w:eastAsia="宋体" w:cs="宋体"/>
                <w:sz w:val="20"/>
                <w:szCs w:val="20"/>
                <w:highlight w:val="none"/>
              </w:rPr>
            </w:pPr>
            <w:r>
              <w:rPr>
                <w:rFonts w:ascii="宋体" w:hAnsi="宋体" w:eastAsia="宋体" w:cs="宋体"/>
                <w:spacing w:val="-8"/>
                <w:sz w:val="20"/>
                <w:szCs w:val="20"/>
                <w:highlight w:val="none"/>
              </w:rPr>
              <w:t>内容</w:t>
            </w:r>
          </w:p>
        </w:tc>
        <w:tc>
          <w:tcPr>
            <w:tcW w:w="8387" w:type="dxa"/>
            <w:tcBorders>
              <w:right w:val="single" w:color="000000" w:sz="6" w:space="0"/>
            </w:tcBorders>
            <w:vAlign w:val="top"/>
          </w:tcPr>
          <w:p w14:paraId="62B9C53C">
            <w:pPr>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2.1 项目由来</w:t>
            </w:r>
          </w:p>
          <w:p w14:paraId="67527F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福建绿生源户外用品有限公司（附件2：营业执照、附件3：法人身份证复印件），厂址位于泉州市永春县蓬壶镇蓬壶工业园</w:t>
            </w:r>
            <w:r>
              <w:rPr>
                <w:rFonts w:hint="eastAsia" w:ascii="Times New Roman" w:hAnsi="Times New Roman" w:eastAsia="宋体" w:cs="Times New Roman"/>
                <w:b w:val="0"/>
                <w:bCs w:val="0"/>
                <w:color w:val="000000"/>
                <w:kern w:val="0"/>
                <w:sz w:val="24"/>
                <w:szCs w:val="24"/>
                <w:highlight w:val="none"/>
                <w:lang w:val="en-US" w:eastAsia="zh-CN" w:bidi="ar"/>
              </w:rPr>
              <w:t>29</w:t>
            </w:r>
            <w:r>
              <w:rPr>
                <w:rFonts w:hint="default" w:ascii="Times New Roman" w:hAnsi="Times New Roman" w:eastAsia="宋体" w:cs="Times New Roman"/>
                <w:b w:val="0"/>
                <w:bCs w:val="0"/>
                <w:color w:val="000000"/>
                <w:kern w:val="0"/>
                <w:sz w:val="24"/>
                <w:szCs w:val="24"/>
                <w:highlight w:val="none"/>
                <w:lang w:val="en-US" w:eastAsia="zh-CN" w:bidi="ar"/>
              </w:rPr>
              <w:t>号</w:t>
            </w:r>
            <w:r>
              <w:rPr>
                <w:rFonts w:hint="eastAsia" w:ascii="Times New Roman" w:hAnsi="Times New Roman" w:eastAsia="宋体" w:cs="Times New Roman"/>
                <w:b w:val="0"/>
                <w:bCs w:val="0"/>
                <w:color w:val="000000"/>
                <w:kern w:val="0"/>
                <w:sz w:val="24"/>
                <w:szCs w:val="24"/>
                <w:highlight w:val="none"/>
                <w:lang w:val="en-US" w:eastAsia="zh-CN" w:bidi="ar"/>
              </w:rPr>
              <w:t>、58号</w:t>
            </w:r>
            <w:r>
              <w:rPr>
                <w:rFonts w:hint="default" w:ascii="Times New Roman" w:hAnsi="Times New Roman" w:eastAsia="宋体" w:cs="Times New Roman"/>
                <w:b w:val="0"/>
                <w:bCs w:val="0"/>
                <w:color w:val="000000"/>
                <w:kern w:val="0"/>
                <w:sz w:val="24"/>
                <w:szCs w:val="24"/>
                <w:highlight w:val="none"/>
                <w:lang w:val="en-US" w:eastAsia="zh-CN" w:bidi="ar"/>
              </w:rPr>
              <w:t>，</w:t>
            </w:r>
            <w:r>
              <w:rPr>
                <w:rFonts w:hint="eastAsia" w:ascii="Times New Roman" w:hAnsi="Times New Roman" w:eastAsia="宋体" w:cs="Times New Roman"/>
                <w:b w:val="0"/>
                <w:bCs w:val="0"/>
                <w:color w:val="000000"/>
                <w:kern w:val="0"/>
                <w:sz w:val="24"/>
                <w:szCs w:val="24"/>
                <w:highlight w:val="none"/>
                <w:lang w:val="en-US" w:eastAsia="zh-CN" w:bidi="ar"/>
              </w:rPr>
              <w:t>分别</w:t>
            </w:r>
            <w:r>
              <w:rPr>
                <w:rFonts w:hint="default" w:ascii="Times New Roman" w:hAnsi="Times New Roman" w:eastAsia="宋体" w:cs="Times New Roman"/>
                <w:b w:val="0"/>
                <w:bCs w:val="0"/>
                <w:color w:val="000000"/>
                <w:kern w:val="0"/>
                <w:sz w:val="24"/>
                <w:szCs w:val="24"/>
                <w:highlight w:val="none"/>
                <w:lang w:val="en-US" w:eastAsia="zh-CN" w:bidi="ar"/>
              </w:rPr>
              <w:t>系泉州坤鑫腾智能科技有限公司厂房</w:t>
            </w:r>
            <w:r>
              <w:rPr>
                <w:rFonts w:hint="eastAsia" w:ascii="Times New Roman" w:hAnsi="Times New Roman" w:eastAsia="宋体" w:cs="Times New Roman"/>
                <w:b w:val="0"/>
                <w:bCs w:val="0"/>
                <w:color w:val="000000"/>
                <w:kern w:val="0"/>
                <w:sz w:val="24"/>
                <w:szCs w:val="24"/>
                <w:highlight w:val="none"/>
                <w:lang w:val="en-US" w:eastAsia="zh-CN" w:bidi="ar"/>
              </w:rPr>
              <w:t>和福建启亿科技有限公司建设厂房</w:t>
            </w:r>
            <w:r>
              <w:rPr>
                <w:rFonts w:hint="default" w:ascii="Times New Roman" w:hAnsi="Times New Roman" w:eastAsia="宋体" w:cs="Times New Roman"/>
                <w:b w:val="0"/>
                <w:bCs w:val="0"/>
                <w:color w:val="000000"/>
                <w:kern w:val="0"/>
                <w:sz w:val="24"/>
                <w:szCs w:val="24"/>
                <w:highlight w:val="none"/>
                <w:lang w:val="en-US" w:eastAsia="zh-CN" w:bidi="ar"/>
              </w:rPr>
              <w:t>（附件4：土地产权证明）。泉州坤鑫腾智能科技有限公司将</w:t>
            </w:r>
            <w:r>
              <w:rPr>
                <w:rFonts w:hint="eastAsia" w:ascii="Times New Roman" w:hAnsi="Times New Roman" w:eastAsia="宋体" w:cs="Times New Roman"/>
                <w:b w:val="0"/>
                <w:bCs w:val="0"/>
                <w:color w:val="000000"/>
                <w:kern w:val="0"/>
                <w:sz w:val="24"/>
                <w:szCs w:val="24"/>
                <w:highlight w:val="none"/>
                <w:lang w:val="en-US" w:eastAsia="zh-CN" w:bidi="ar"/>
              </w:rPr>
              <w:t>29号B栋</w:t>
            </w:r>
            <w:r>
              <w:rPr>
                <w:rFonts w:hint="default" w:ascii="Times New Roman" w:hAnsi="Times New Roman" w:eastAsia="宋体" w:cs="Times New Roman"/>
                <w:b w:val="0"/>
                <w:bCs w:val="0"/>
                <w:color w:val="000000"/>
                <w:kern w:val="0"/>
                <w:sz w:val="24"/>
                <w:szCs w:val="24"/>
                <w:highlight w:val="none"/>
                <w:lang w:val="en-US" w:eastAsia="zh-CN" w:bidi="ar"/>
              </w:rPr>
              <w:t>厂房</w:t>
            </w:r>
            <w:r>
              <w:rPr>
                <w:rFonts w:hint="eastAsia" w:ascii="Times New Roman" w:hAnsi="Times New Roman" w:eastAsia="宋体" w:cs="Times New Roman"/>
                <w:b w:val="0"/>
                <w:bCs w:val="0"/>
                <w:color w:val="000000"/>
                <w:kern w:val="0"/>
                <w:sz w:val="24"/>
                <w:szCs w:val="24"/>
                <w:highlight w:val="none"/>
                <w:lang w:val="en-US" w:eastAsia="zh-CN" w:bidi="ar"/>
              </w:rPr>
              <w:t>，福建启亿科技有限公司将58号厂房</w:t>
            </w:r>
            <w:r>
              <w:rPr>
                <w:rFonts w:hint="default" w:ascii="Times New Roman" w:hAnsi="Times New Roman" w:eastAsia="宋体" w:cs="Times New Roman"/>
                <w:b w:val="0"/>
                <w:bCs w:val="0"/>
                <w:color w:val="000000"/>
                <w:kern w:val="0"/>
                <w:sz w:val="24"/>
                <w:szCs w:val="24"/>
                <w:highlight w:val="none"/>
                <w:lang w:val="en-US" w:eastAsia="zh-CN" w:bidi="ar"/>
              </w:rPr>
              <w:t>租赁给福建绿生源户外用品有限公司（附件</w:t>
            </w:r>
            <w:r>
              <w:rPr>
                <w:rFonts w:hint="eastAsia" w:ascii="Times New Roman" w:hAnsi="Times New Roman" w:eastAsia="宋体" w:cs="Times New Roman"/>
                <w:b w:val="0"/>
                <w:bCs w:val="0"/>
                <w:color w:val="000000"/>
                <w:kern w:val="0"/>
                <w:sz w:val="24"/>
                <w:szCs w:val="24"/>
                <w:highlight w:val="none"/>
                <w:lang w:val="en-US" w:eastAsia="zh-CN" w:bidi="ar"/>
              </w:rPr>
              <w:t>6</w:t>
            </w:r>
            <w:r>
              <w:rPr>
                <w:rFonts w:hint="default" w:ascii="Times New Roman" w:hAnsi="Times New Roman" w:eastAsia="宋体" w:cs="Times New Roman"/>
                <w:b w:val="0"/>
                <w:bCs w:val="0"/>
                <w:color w:val="000000"/>
                <w:kern w:val="0"/>
                <w:sz w:val="24"/>
                <w:szCs w:val="24"/>
                <w:highlight w:val="none"/>
                <w:lang w:val="en-US" w:eastAsia="zh-CN" w:bidi="ar"/>
              </w:rPr>
              <w:t>：租赁合同）作为生产车间使用，</w:t>
            </w:r>
            <w:r>
              <w:rPr>
                <w:rFonts w:hint="eastAsia" w:ascii="Times New Roman" w:hAnsi="Times New Roman" w:eastAsia="宋体" w:cs="Times New Roman"/>
                <w:b w:val="0"/>
                <w:bCs w:val="0"/>
                <w:color w:val="000000"/>
                <w:kern w:val="0"/>
                <w:sz w:val="24"/>
                <w:szCs w:val="24"/>
                <w:highlight w:val="none"/>
                <w:lang w:val="en-US" w:eastAsia="zh-CN" w:bidi="ar"/>
              </w:rPr>
              <w:t>总</w:t>
            </w:r>
            <w:r>
              <w:rPr>
                <w:rFonts w:hint="default" w:ascii="Times New Roman" w:hAnsi="Times New Roman" w:eastAsia="宋体" w:cs="Times New Roman"/>
                <w:b w:val="0"/>
                <w:bCs w:val="0"/>
                <w:color w:val="000000"/>
                <w:kern w:val="0"/>
                <w:sz w:val="24"/>
                <w:szCs w:val="24"/>
                <w:highlight w:val="none"/>
                <w:lang w:val="en-US" w:eastAsia="zh-CN" w:bidi="ar"/>
              </w:rPr>
              <w:t>租赁面积</w:t>
            </w:r>
            <w:r>
              <w:rPr>
                <w:rFonts w:hint="eastAsia" w:ascii="Times New Roman" w:hAnsi="Times New Roman" w:eastAsia="宋体" w:cs="Times New Roman"/>
                <w:b w:val="0"/>
                <w:bCs w:val="0"/>
                <w:color w:val="000000"/>
                <w:kern w:val="0"/>
                <w:sz w:val="24"/>
                <w:szCs w:val="24"/>
                <w:highlight w:val="none"/>
                <w:lang w:val="en-US" w:eastAsia="zh-CN" w:bidi="ar"/>
              </w:rPr>
              <w:t>约8633.82m</w:t>
            </w:r>
            <w:r>
              <w:rPr>
                <w:rFonts w:hint="eastAsia" w:ascii="Times New Roman" w:hAnsi="Times New Roman" w:eastAsia="宋体" w:cs="Times New Roman"/>
                <w:b w:val="0"/>
                <w:bCs w:val="0"/>
                <w:color w:val="000000"/>
                <w:kern w:val="0"/>
                <w:sz w:val="24"/>
                <w:szCs w:val="24"/>
                <w:highlight w:val="none"/>
                <w:vertAlign w:val="superscript"/>
                <w:lang w:val="en-US" w:eastAsia="zh-CN" w:bidi="ar"/>
              </w:rPr>
              <w:t>2</w:t>
            </w:r>
            <w:r>
              <w:rPr>
                <w:rFonts w:hint="default" w:ascii="Times New Roman" w:hAnsi="Times New Roman" w:eastAsia="宋体" w:cs="Times New Roman"/>
                <w:b w:val="0"/>
                <w:bCs w:val="0"/>
                <w:color w:val="000000"/>
                <w:kern w:val="0"/>
                <w:sz w:val="24"/>
                <w:szCs w:val="24"/>
                <w:highlight w:val="none"/>
                <w:lang w:val="en-US" w:eastAsia="zh-CN" w:bidi="ar"/>
              </w:rPr>
              <w:t>，拟从事充气床、露营垫、箱包生产，年产充气床1</w:t>
            </w:r>
            <w:r>
              <w:rPr>
                <w:rFonts w:hint="eastAsia" w:ascii="Times New Roman" w:hAnsi="Times New Roman" w:eastAsia="宋体" w:cs="Times New Roman"/>
                <w:b w:val="0"/>
                <w:bCs w:val="0"/>
                <w:color w:val="000000"/>
                <w:kern w:val="0"/>
                <w:sz w:val="24"/>
                <w:szCs w:val="24"/>
                <w:highlight w:val="none"/>
                <w:lang w:val="en-US" w:eastAsia="zh-CN" w:bidi="ar"/>
              </w:rPr>
              <w:t>5</w:t>
            </w:r>
            <w:r>
              <w:rPr>
                <w:rFonts w:hint="default" w:ascii="Times New Roman" w:hAnsi="Times New Roman" w:eastAsia="宋体" w:cs="Times New Roman"/>
                <w:b w:val="0"/>
                <w:bCs w:val="0"/>
                <w:color w:val="000000"/>
                <w:kern w:val="0"/>
                <w:sz w:val="24"/>
                <w:szCs w:val="24"/>
                <w:highlight w:val="none"/>
                <w:lang w:val="en-US" w:eastAsia="zh-CN" w:bidi="ar"/>
              </w:rPr>
              <w:t>0万个，露营垫</w:t>
            </w:r>
            <w:r>
              <w:rPr>
                <w:rFonts w:hint="eastAsia" w:ascii="Times New Roman" w:hAnsi="Times New Roman" w:eastAsia="宋体" w:cs="Times New Roman"/>
                <w:b w:val="0"/>
                <w:bCs w:val="0"/>
                <w:color w:val="000000"/>
                <w:kern w:val="0"/>
                <w:sz w:val="24"/>
                <w:szCs w:val="24"/>
                <w:highlight w:val="none"/>
                <w:lang w:val="en-US" w:eastAsia="zh-CN" w:bidi="ar"/>
              </w:rPr>
              <w:t>3</w:t>
            </w:r>
            <w:r>
              <w:rPr>
                <w:rFonts w:hint="default" w:ascii="Times New Roman" w:hAnsi="Times New Roman" w:eastAsia="宋体" w:cs="Times New Roman"/>
                <w:b w:val="0"/>
                <w:bCs w:val="0"/>
                <w:color w:val="000000"/>
                <w:kern w:val="0"/>
                <w:sz w:val="24"/>
                <w:szCs w:val="24"/>
                <w:highlight w:val="none"/>
                <w:lang w:val="en-US" w:eastAsia="zh-CN" w:bidi="ar"/>
              </w:rPr>
              <w:t>0万个，箱包1</w:t>
            </w:r>
            <w:r>
              <w:rPr>
                <w:rFonts w:hint="eastAsia" w:ascii="Times New Roman" w:hAnsi="Times New Roman" w:eastAsia="宋体" w:cs="Times New Roman"/>
                <w:b w:val="0"/>
                <w:bCs w:val="0"/>
                <w:color w:val="000000"/>
                <w:kern w:val="0"/>
                <w:sz w:val="24"/>
                <w:szCs w:val="24"/>
                <w:highlight w:val="none"/>
                <w:lang w:val="en-US" w:eastAsia="zh-CN" w:bidi="ar"/>
              </w:rPr>
              <w:t>5</w:t>
            </w:r>
            <w:r>
              <w:rPr>
                <w:rFonts w:hint="default" w:ascii="Times New Roman" w:hAnsi="Times New Roman" w:eastAsia="宋体" w:cs="Times New Roman"/>
                <w:b w:val="0"/>
                <w:bCs w:val="0"/>
                <w:color w:val="000000"/>
                <w:kern w:val="0"/>
                <w:sz w:val="24"/>
                <w:szCs w:val="24"/>
                <w:highlight w:val="none"/>
                <w:lang w:val="en-US" w:eastAsia="zh-CN" w:bidi="ar"/>
              </w:rPr>
              <w:t>万个。项目年工作312天，每天工作</w:t>
            </w:r>
            <w:r>
              <w:rPr>
                <w:rFonts w:hint="eastAsia" w:ascii="Times New Roman" w:hAnsi="Times New Roman" w:eastAsia="宋体" w:cs="Times New Roman"/>
                <w:b w:val="0"/>
                <w:bCs w:val="0"/>
                <w:color w:val="000000"/>
                <w:kern w:val="0"/>
                <w:sz w:val="24"/>
                <w:szCs w:val="24"/>
                <w:highlight w:val="none"/>
                <w:lang w:val="en-US" w:eastAsia="zh-CN" w:bidi="ar"/>
              </w:rPr>
              <w:t>24</w:t>
            </w:r>
            <w:r>
              <w:rPr>
                <w:rFonts w:hint="default" w:ascii="Times New Roman" w:hAnsi="Times New Roman" w:eastAsia="宋体" w:cs="Times New Roman"/>
                <w:b w:val="0"/>
                <w:bCs w:val="0"/>
                <w:color w:val="000000"/>
                <w:kern w:val="0"/>
                <w:sz w:val="24"/>
                <w:szCs w:val="24"/>
                <w:highlight w:val="none"/>
                <w:lang w:val="en-US" w:eastAsia="zh-CN" w:bidi="ar"/>
              </w:rPr>
              <w:t>小时，</w:t>
            </w:r>
            <w:r>
              <w:rPr>
                <w:rFonts w:hint="eastAsia" w:ascii="Times New Roman" w:hAnsi="Times New Roman" w:eastAsia="宋体" w:cs="Times New Roman"/>
                <w:b w:val="0"/>
                <w:bCs w:val="0"/>
                <w:color w:val="000000"/>
                <w:kern w:val="0"/>
                <w:sz w:val="24"/>
                <w:szCs w:val="24"/>
                <w:highlight w:val="none"/>
                <w:lang w:val="en-US" w:eastAsia="zh-CN" w:bidi="ar"/>
              </w:rPr>
              <w:t>两班倒。</w:t>
            </w:r>
            <w:r>
              <w:rPr>
                <w:rFonts w:hint="default" w:ascii="Times New Roman" w:hAnsi="Times New Roman" w:eastAsia="宋体" w:cs="Times New Roman"/>
                <w:b w:val="0"/>
                <w:bCs w:val="0"/>
                <w:color w:val="000000"/>
                <w:kern w:val="0"/>
                <w:sz w:val="24"/>
                <w:szCs w:val="24"/>
                <w:highlight w:val="none"/>
                <w:lang w:val="en-US" w:eastAsia="zh-CN" w:bidi="ar"/>
              </w:rPr>
              <w:t>职工人数50人，均不住厂。</w:t>
            </w:r>
          </w:p>
          <w:p w14:paraId="207D12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福建绿生源户外用品有限公司于2024年</w:t>
            </w:r>
            <w:r>
              <w:rPr>
                <w:rFonts w:hint="eastAsia" w:ascii="Times New Roman" w:hAnsi="Times New Roman" w:eastAsia="宋体" w:cs="Times New Roman"/>
                <w:b w:val="0"/>
                <w:bCs w:val="0"/>
                <w:color w:val="000000"/>
                <w:kern w:val="0"/>
                <w:sz w:val="24"/>
                <w:szCs w:val="24"/>
                <w:highlight w:val="none"/>
                <w:lang w:val="en-US" w:eastAsia="zh-CN" w:bidi="ar"/>
              </w:rPr>
              <w:t>7</w:t>
            </w:r>
            <w:r>
              <w:rPr>
                <w:rFonts w:hint="default" w:ascii="Times New Roman" w:hAnsi="Times New Roman" w:eastAsia="宋体" w:cs="Times New Roman"/>
                <w:b w:val="0"/>
                <w:bCs w:val="0"/>
                <w:color w:val="000000"/>
                <w:kern w:val="0"/>
                <w:sz w:val="24"/>
                <w:szCs w:val="24"/>
                <w:highlight w:val="none"/>
                <w:lang w:val="en-US" w:eastAsia="zh-CN" w:bidi="ar"/>
              </w:rPr>
              <w:t>月</w:t>
            </w:r>
            <w:r>
              <w:rPr>
                <w:rFonts w:hint="eastAsia" w:ascii="Times New Roman" w:hAnsi="Times New Roman" w:eastAsia="宋体" w:cs="Times New Roman"/>
                <w:b w:val="0"/>
                <w:bCs w:val="0"/>
                <w:color w:val="000000"/>
                <w:kern w:val="0"/>
                <w:sz w:val="24"/>
                <w:szCs w:val="24"/>
                <w:highlight w:val="none"/>
                <w:lang w:val="en-US" w:eastAsia="zh-CN" w:bidi="ar"/>
              </w:rPr>
              <w:t>15日</w:t>
            </w:r>
            <w:r>
              <w:rPr>
                <w:rFonts w:hint="default" w:ascii="Times New Roman" w:hAnsi="Times New Roman" w:eastAsia="宋体" w:cs="Times New Roman"/>
                <w:b w:val="0"/>
                <w:bCs w:val="0"/>
                <w:color w:val="000000"/>
                <w:kern w:val="0"/>
                <w:sz w:val="24"/>
                <w:szCs w:val="24"/>
                <w:highlight w:val="none"/>
                <w:lang w:val="en-US" w:eastAsia="zh-CN" w:bidi="ar"/>
              </w:rPr>
              <w:t>委托福证通（福州市）环保科技有限公司编制《绿生源户外用品生产项目环境影响评价报告表》</w:t>
            </w:r>
            <w:r>
              <w:rPr>
                <w:rFonts w:hint="eastAsia" w:ascii="Times New Roman" w:hAnsi="Times New Roman" w:eastAsia="宋体" w:cs="Times New Roman"/>
                <w:b w:val="0"/>
                <w:bCs w:val="0"/>
                <w:color w:val="000000"/>
                <w:kern w:val="0"/>
                <w:sz w:val="24"/>
                <w:szCs w:val="24"/>
                <w:highlight w:val="none"/>
                <w:lang w:val="en-US" w:eastAsia="zh-CN" w:bidi="ar"/>
              </w:rPr>
              <w:t>（委托书见附件1）</w:t>
            </w:r>
            <w:r>
              <w:rPr>
                <w:rFonts w:hint="default" w:ascii="Times New Roman" w:hAnsi="Times New Roman" w:eastAsia="宋体" w:cs="Times New Roman"/>
                <w:b w:val="0"/>
                <w:bCs w:val="0"/>
                <w:color w:val="000000"/>
                <w:kern w:val="0"/>
                <w:sz w:val="24"/>
                <w:szCs w:val="24"/>
                <w:highlight w:val="none"/>
                <w:lang w:val="en-US" w:eastAsia="zh-CN" w:bidi="ar"/>
              </w:rPr>
              <w:t>，该项目于2024年7月12日取得永春县发展和改革局的</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福建省企业投资项目备案证明</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（闽发改备号</w:t>
            </w:r>
            <w:r>
              <w:rPr>
                <w:rFonts w:hint="eastAsia" w:ascii="Times New Roman" w:hAnsi="Times New Roman" w:eastAsia="宋体" w:cs="Times New Roman"/>
                <w:b w:val="0"/>
                <w:bCs w:val="0"/>
                <w:color w:val="000000"/>
                <w:kern w:val="0"/>
                <w:sz w:val="24"/>
                <w:szCs w:val="24"/>
                <w:highlight w:val="none"/>
                <w:lang w:val="en-US" w:eastAsia="zh-CN" w:bidi="ar"/>
              </w:rPr>
              <w:t>〔2024〕C101218</w:t>
            </w:r>
            <w:r>
              <w:rPr>
                <w:rFonts w:hint="default" w:ascii="Times New Roman" w:hAnsi="Times New Roman" w:eastAsia="宋体" w:cs="Times New Roman"/>
                <w:b w:val="0"/>
                <w:bCs w:val="0"/>
                <w:color w:val="000000"/>
                <w:kern w:val="0"/>
                <w:sz w:val="24"/>
                <w:szCs w:val="24"/>
                <w:highlight w:val="none"/>
                <w:lang w:val="en-US" w:eastAsia="zh-CN" w:bidi="ar"/>
              </w:rPr>
              <w:t>，详见附件</w:t>
            </w:r>
            <w:r>
              <w:rPr>
                <w:rFonts w:hint="eastAsia" w:ascii="Times New Roman" w:hAnsi="Times New Roman" w:eastAsia="宋体" w:cs="Times New Roman"/>
                <w:b w:val="0"/>
                <w:bCs w:val="0"/>
                <w:color w:val="000000"/>
                <w:kern w:val="0"/>
                <w:sz w:val="24"/>
                <w:szCs w:val="24"/>
                <w:highlight w:val="none"/>
                <w:lang w:val="en-US" w:eastAsia="zh-CN" w:bidi="ar"/>
              </w:rPr>
              <w:t>5</w:t>
            </w:r>
            <w:r>
              <w:rPr>
                <w:rFonts w:hint="default" w:ascii="Times New Roman" w:hAnsi="Times New Roman" w:eastAsia="宋体" w:cs="Times New Roman"/>
                <w:b w:val="0"/>
                <w:bCs w:val="0"/>
                <w:color w:val="000000"/>
                <w:kern w:val="0"/>
                <w:sz w:val="24"/>
                <w:szCs w:val="24"/>
                <w:highlight w:val="none"/>
                <w:lang w:val="en-US" w:eastAsia="zh-CN" w:bidi="ar"/>
              </w:rPr>
              <w:t>）</w:t>
            </w:r>
          </w:p>
          <w:p w14:paraId="7F25FD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根据《国民经济行业分类》（</w:t>
            </w:r>
            <w:r>
              <w:rPr>
                <w:rFonts w:hint="eastAsia" w:ascii="Times New Roman" w:hAnsi="Times New Roman" w:eastAsia="宋体" w:cs="Times New Roman"/>
                <w:b w:val="0"/>
                <w:bCs w:val="0"/>
                <w:color w:val="000000"/>
                <w:kern w:val="0"/>
                <w:sz w:val="24"/>
                <w:szCs w:val="24"/>
                <w:highlight w:val="none"/>
                <w:lang w:val="en-US" w:eastAsia="zh-CN" w:bidi="ar"/>
              </w:rPr>
              <w:t>GB/T 4754-2017</w:t>
            </w:r>
            <w:r>
              <w:rPr>
                <w:rFonts w:hint="default" w:ascii="Times New Roman" w:hAnsi="Times New Roman" w:eastAsia="宋体" w:cs="Times New Roman"/>
                <w:b w:val="0"/>
                <w:bCs w:val="0"/>
                <w:color w:val="000000"/>
                <w:kern w:val="0"/>
                <w:sz w:val="24"/>
                <w:szCs w:val="24"/>
                <w:highlight w:val="none"/>
                <w:lang w:val="en-US" w:eastAsia="zh-CN" w:bidi="ar"/>
              </w:rPr>
              <w:t>），项目属于</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C23</w:t>
            </w:r>
            <w:r>
              <w:rPr>
                <w:rFonts w:hint="eastAsia" w:ascii="Times New Roman" w:hAnsi="Times New Roman" w:eastAsia="宋体" w:cs="Times New Roman"/>
                <w:b w:val="0"/>
                <w:bCs w:val="0"/>
                <w:color w:val="000000"/>
                <w:kern w:val="0"/>
                <w:sz w:val="24"/>
                <w:szCs w:val="24"/>
                <w:highlight w:val="none"/>
                <w:lang w:val="en-US" w:eastAsia="zh-CN" w:bidi="ar"/>
              </w:rPr>
              <w:t>19</w:t>
            </w:r>
            <w:r>
              <w:rPr>
                <w:rFonts w:hint="default" w:ascii="Times New Roman" w:hAnsi="Times New Roman" w:eastAsia="宋体" w:cs="Times New Roman"/>
                <w:b w:val="0"/>
                <w:bCs w:val="0"/>
                <w:color w:val="000000"/>
                <w:kern w:val="0"/>
                <w:sz w:val="24"/>
                <w:szCs w:val="24"/>
                <w:highlight w:val="none"/>
                <w:lang w:val="en-US" w:eastAsia="zh-CN" w:bidi="ar"/>
              </w:rPr>
              <w:t xml:space="preserve"> 印刷和记录媒介复制业</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C2929 塑料零件及其他塑料制品制造</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；且对照《建设项目环境影响评价分类管理名录》（2021年版），项目属于《建设项目环境影响评价分类管理名录》</w:t>
            </w:r>
            <w:r>
              <w:rPr>
                <w:rFonts w:hint="eastAsia" w:ascii="Times New Roman" w:hAnsi="Times New Roman" w:eastAsia="宋体" w:cs="Times New Roman"/>
                <w:b w:val="0"/>
                <w:bCs w:val="0"/>
                <w:color w:val="000000"/>
                <w:kern w:val="0"/>
                <w:sz w:val="24"/>
                <w:szCs w:val="24"/>
                <w:highlight w:val="none"/>
                <w:lang w:val="en-US" w:eastAsia="zh-CN" w:bidi="ar"/>
              </w:rPr>
              <w:t xml:space="preserve"> </w:t>
            </w:r>
            <w:r>
              <w:rPr>
                <w:rFonts w:hint="default" w:ascii="Times New Roman" w:hAnsi="Times New Roman" w:eastAsia="宋体" w:cs="Times New Roman"/>
                <w:b w:val="0"/>
                <w:bCs w:val="0"/>
                <w:color w:val="000000"/>
                <w:kern w:val="0"/>
                <w:sz w:val="24"/>
                <w:szCs w:val="24"/>
                <w:highlight w:val="none"/>
                <w:lang w:val="en-US" w:eastAsia="zh-CN" w:bidi="ar"/>
              </w:rPr>
              <w:t>中</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二十、印刷和记录媒介复制业</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中</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39</w:t>
            </w:r>
            <w:r>
              <w:rPr>
                <w:rFonts w:hint="eastAsia" w:ascii="Times New Roman" w:hAnsi="Times New Roman" w:eastAsia="宋体" w:cs="Times New Roman"/>
                <w:b w:val="0"/>
                <w:bCs w:val="0"/>
                <w:color w:val="000000"/>
                <w:kern w:val="0"/>
                <w:sz w:val="24"/>
                <w:szCs w:val="24"/>
                <w:highlight w:val="none"/>
                <w:lang w:val="en-US" w:eastAsia="zh-CN" w:bidi="ar"/>
              </w:rPr>
              <w:t>印刷231”“</w:t>
            </w:r>
            <w:r>
              <w:rPr>
                <w:rFonts w:hint="default" w:ascii="Times New Roman" w:hAnsi="Times New Roman" w:eastAsia="宋体" w:cs="Times New Roman"/>
                <w:b w:val="0"/>
                <w:bCs w:val="0"/>
                <w:color w:val="000000"/>
                <w:kern w:val="0"/>
                <w:sz w:val="24"/>
                <w:szCs w:val="24"/>
                <w:highlight w:val="none"/>
                <w:lang w:val="en-US" w:eastAsia="zh-CN" w:bidi="ar"/>
              </w:rPr>
              <w:t>二十六、橡胶和塑料制品业</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中</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53</w:t>
            </w:r>
            <w:r>
              <w:rPr>
                <w:rFonts w:hint="eastAsia" w:ascii="Times New Roman" w:hAnsi="Times New Roman" w:eastAsia="宋体" w:cs="Times New Roman"/>
                <w:b w:val="0"/>
                <w:bCs w:val="0"/>
                <w:color w:val="000000"/>
                <w:kern w:val="0"/>
                <w:sz w:val="24"/>
                <w:szCs w:val="24"/>
                <w:highlight w:val="none"/>
                <w:lang w:val="en-US" w:eastAsia="zh-CN" w:bidi="ar"/>
              </w:rPr>
              <w:t>塑料制品业292”。</w:t>
            </w:r>
            <w:r>
              <w:rPr>
                <w:rFonts w:hint="default" w:ascii="Times New Roman" w:hAnsi="Times New Roman" w:eastAsia="宋体" w:cs="Times New Roman"/>
                <w:b w:val="0"/>
                <w:bCs w:val="0"/>
                <w:color w:val="auto"/>
                <w:kern w:val="0"/>
                <w:sz w:val="24"/>
                <w:szCs w:val="24"/>
                <w:highlight w:val="none"/>
                <w:lang w:val="en-US" w:eastAsia="zh-CN" w:bidi="ar"/>
              </w:rPr>
              <w:t>本项目所用油墨为</w:t>
            </w:r>
            <w:r>
              <w:rPr>
                <w:rFonts w:hint="eastAsia" w:ascii="Times New Roman" w:hAnsi="Times New Roman" w:eastAsia="宋体" w:cs="Times New Roman"/>
                <w:b w:val="0"/>
                <w:bCs w:val="0"/>
                <w:color w:val="auto"/>
                <w:kern w:val="0"/>
                <w:sz w:val="24"/>
                <w:szCs w:val="24"/>
                <w:highlight w:val="none"/>
                <w:lang w:val="en-US" w:eastAsia="zh-CN" w:bidi="ar"/>
              </w:rPr>
              <w:t>溶剂油墨及</w:t>
            </w:r>
            <w:r>
              <w:rPr>
                <w:rFonts w:hint="default" w:ascii="Times New Roman" w:hAnsi="Times New Roman" w:eastAsia="宋体" w:cs="Times New Roman"/>
                <w:b w:val="0"/>
                <w:bCs w:val="0"/>
                <w:color w:val="auto"/>
                <w:kern w:val="0"/>
                <w:sz w:val="24"/>
                <w:szCs w:val="24"/>
                <w:highlight w:val="none"/>
                <w:lang w:val="en-US" w:eastAsia="zh-CN" w:bidi="ar"/>
              </w:rPr>
              <w:t>UV油墨，</w:t>
            </w:r>
            <w:r>
              <w:rPr>
                <w:rFonts w:hint="eastAsia" w:ascii="Times New Roman" w:hAnsi="Times New Roman" w:eastAsia="宋体" w:cs="Times New Roman"/>
                <w:b w:val="0"/>
                <w:bCs w:val="0"/>
                <w:color w:val="auto"/>
                <w:kern w:val="0"/>
                <w:sz w:val="24"/>
                <w:szCs w:val="24"/>
                <w:highlight w:val="none"/>
                <w:lang w:val="en-US" w:eastAsia="zh-CN" w:bidi="ar"/>
              </w:rPr>
              <w:t>其中</w:t>
            </w:r>
            <w:r>
              <w:rPr>
                <w:rFonts w:hint="default" w:ascii="Times New Roman" w:hAnsi="Times New Roman" w:eastAsia="宋体" w:cs="Times New Roman"/>
                <w:b w:val="0"/>
                <w:bCs w:val="0"/>
                <w:color w:val="auto"/>
                <w:kern w:val="0"/>
                <w:sz w:val="24"/>
                <w:szCs w:val="24"/>
                <w:highlight w:val="none"/>
                <w:lang w:val="en-US" w:eastAsia="zh-CN" w:bidi="ar"/>
              </w:rPr>
              <w:t>溶剂油墨年用量</w:t>
            </w:r>
            <w:r>
              <w:rPr>
                <w:rFonts w:hint="eastAsia" w:ascii="Times New Roman" w:hAnsi="Times New Roman" w:eastAsia="宋体" w:cs="Times New Roman"/>
                <w:b w:val="0"/>
                <w:bCs w:val="0"/>
                <w:color w:val="auto"/>
                <w:kern w:val="0"/>
                <w:sz w:val="24"/>
                <w:szCs w:val="24"/>
                <w:highlight w:val="none"/>
                <w:lang w:val="en-US" w:eastAsia="zh-CN" w:bidi="ar"/>
              </w:rPr>
              <w:t>较低，</w:t>
            </w:r>
            <w:r>
              <w:rPr>
                <w:rFonts w:hint="default" w:ascii="Times New Roman" w:hAnsi="Times New Roman" w:eastAsia="宋体" w:cs="Times New Roman"/>
                <w:b w:val="0"/>
                <w:bCs w:val="0"/>
                <w:color w:val="auto"/>
                <w:kern w:val="0"/>
                <w:sz w:val="24"/>
                <w:szCs w:val="24"/>
                <w:highlight w:val="none"/>
                <w:lang w:val="en-US" w:eastAsia="zh-CN" w:bidi="ar"/>
              </w:rPr>
              <w:t>仅为</w:t>
            </w:r>
            <w:r>
              <w:rPr>
                <w:rFonts w:hint="eastAsia" w:ascii="Times New Roman" w:hAnsi="Times New Roman" w:eastAsia="宋体" w:cs="Times New Roman"/>
                <w:b w:val="0"/>
                <w:bCs w:val="0"/>
                <w:color w:val="auto"/>
                <w:kern w:val="0"/>
                <w:sz w:val="24"/>
                <w:szCs w:val="24"/>
                <w:highlight w:val="none"/>
                <w:lang w:val="en-US" w:eastAsia="zh-CN" w:bidi="ar"/>
              </w:rPr>
              <w:t>0.</w:t>
            </w:r>
            <w:r>
              <w:rPr>
                <w:rFonts w:hint="default" w:ascii="Times New Roman" w:hAnsi="Times New Roman" w:eastAsia="宋体" w:cs="Times New Roman"/>
                <w:b w:val="0"/>
                <w:bCs w:val="0"/>
                <w:color w:val="auto"/>
                <w:kern w:val="0"/>
                <w:sz w:val="24"/>
                <w:szCs w:val="24"/>
                <w:highlight w:val="none"/>
                <w:lang w:val="en-US" w:eastAsia="zh-CN" w:bidi="ar"/>
              </w:rPr>
              <w:t>1吨</w:t>
            </w:r>
            <w:r>
              <w:rPr>
                <w:rFonts w:hint="eastAsia" w:ascii="Times New Roman" w:hAnsi="Times New Roman" w:eastAsia="宋体" w:cs="Times New Roman"/>
                <w:b w:val="0"/>
                <w:bCs w:val="0"/>
                <w:color w:val="auto"/>
                <w:kern w:val="0"/>
                <w:sz w:val="24"/>
                <w:szCs w:val="24"/>
                <w:highlight w:val="none"/>
                <w:lang w:val="en-US" w:eastAsia="zh-CN" w:bidi="ar"/>
              </w:rPr>
              <w:t>，本项目所用PVC膜、TPU膜等原料不是再生塑料；无电镀工艺；且不使用溶剂型胶粘剂。</w:t>
            </w:r>
            <w:r>
              <w:rPr>
                <w:rFonts w:hint="eastAsia" w:ascii="Times New Roman" w:hAnsi="Times New Roman" w:eastAsia="宋体" w:cs="Times New Roman"/>
                <w:b w:val="0"/>
                <w:bCs w:val="0"/>
                <w:color w:val="000000"/>
                <w:kern w:val="0"/>
                <w:sz w:val="24"/>
                <w:szCs w:val="24"/>
                <w:highlight w:val="none"/>
                <w:lang w:val="en-US" w:eastAsia="zh-CN" w:bidi="ar"/>
              </w:rPr>
              <w:t>因此，本项目属于</w:t>
            </w:r>
            <w:r>
              <w:rPr>
                <w:rFonts w:hint="default" w:ascii="Times New Roman" w:hAnsi="Times New Roman" w:eastAsia="宋体" w:cs="Times New Roman"/>
                <w:b w:val="0"/>
                <w:bCs w:val="0"/>
                <w:color w:val="000000"/>
                <w:kern w:val="0"/>
                <w:sz w:val="24"/>
                <w:szCs w:val="24"/>
                <w:highlight w:val="none"/>
                <w:lang w:val="en-US" w:eastAsia="zh-CN" w:bidi="ar"/>
              </w:rPr>
              <w:t>印刷231</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其他（激光印刷除外；年用低VOCs含量油墨10吨以下的印刷除外）</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塑料制品业292</w:t>
            </w:r>
            <w:r>
              <w:rPr>
                <w:rFonts w:hint="eastAsia" w:ascii="Times New Roman" w:hAnsi="Times New Roman" w:eastAsia="宋体" w:cs="Times New Roman"/>
                <w:b w:val="0"/>
                <w:bCs w:val="0"/>
                <w:color w:val="000000"/>
                <w:kern w:val="0"/>
                <w:sz w:val="24"/>
                <w:szCs w:val="24"/>
                <w:highlight w:val="none"/>
                <w:lang w:val="en-US" w:eastAsia="zh-CN" w:bidi="ar"/>
              </w:rPr>
              <w:t>－</w:t>
            </w:r>
            <w:r>
              <w:rPr>
                <w:rFonts w:hint="default" w:ascii="Times New Roman" w:hAnsi="Times New Roman" w:eastAsia="宋体" w:cs="Times New Roman"/>
                <w:b w:val="0"/>
                <w:bCs w:val="0"/>
                <w:color w:val="000000"/>
                <w:kern w:val="0"/>
                <w:sz w:val="24"/>
                <w:szCs w:val="24"/>
                <w:highlight w:val="none"/>
                <w:lang w:val="en-US" w:eastAsia="zh-CN" w:bidi="ar"/>
              </w:rPr>
              <w:t>其他（年用非溶剂型低</w:t>
            </w:r>
            <w:r>
              <w:rPr>
                <w:rFonts w:hint="eastAsia" w:ascii="Times New Roman" w:hAnsi="Times New Roman" w:eastAsia="宋体" w:cs="Times New Roman"/>
                <w:b w:val="0"/>
                <w:bCs w:val="0"/>
                <w:color w:val="000000"/>
                <w:kern w:val="0"/>
                <w:sz w:val="24"/>
                <w:szCs w:val="24"/>
                <w:highlight w:val="none"/>
                <w:lang w:val="en-US" w:eastAsia="zh-CN" w:bidi="ar"/>
              </w:rPr>
              <w:t>VOCs</w:t>
            </w:r>
            <w:r>
              <w:rPr>
                <w:rFonts w:hint="default" w:ascii="Times New Roman" w:hAnsi="Times New Roman" w:eastAsia="宋体" w:cs="Times New Roman"/>
                <w:b w:val="0"/>
                <w:bCs w:val="0"/>
                <w:color w:val="000000"/>
                <w:kern w:val="0"/>
                <w:sz w:val="24"/>
                <w:szCs w:val="24"/>
                <w:highlight w:val="none"/>
                <w:lang w:val="en-US" w:eastAsia="zh-CN" w:bidi="ar"/>
              </w:rPr>
              <w:t>含量涂料10吨以下的除外）类别，应编制环境影响报告表，详见表2</w:t>
            </w:r>
            <w:r>
              <w:rPr>
                <w:rFonts w:hint="eastAsia" w:ascii="Times New Roman" w:hAnsi="Times New Roman" w:eastAsia="宋体" w:cs="Times New Roman"/>
                <w:b w:val="0"/>
                <w:bCs w:val="0"/>
                <w:color w:val="000000"/>
                <w:kern w:val="0"/>
                <w:sz w:val="24"/>
                <w:szCs w:val="24"/>
                <w:highlight w:val="none"/>
                <w:lang w:val="en-US" w:eastAsia="zh-CN" w:bidi="ar"/>
              </w:rPr>
              <w:t>.1-</w:t>
            </w:r>
            <w:r>
              <w:rPr>
                <w:rFonts w:hint="default" w:ascii="Times New Roman" w:hAnsi="Times New Roman" w:eastAsia="宋体" w:cs="Times New Roman"/>
                <w:b w:val="0"/>
                <w:bCs w:val="0"/>
                <w:color w:val="000000"/>
                <w:kern w:val="0"/>
                <w:sz w:val="24"/>
                <w:szCs w:val="24"/>
                <w:highlight w:val="none"/>
                <w:lang w:val="en-US" w:eastAsia="zh-CN" w:bidi="ar"/>
              </w:rPr>
              <w:t>1。</w:t>
            </w:r>
          </w:p>
          <w:p w14:paraId="4841F316">
            <w:pPr>
              <w:pStyle w:val="23"/>
              <w:spacing w:before="120" w:line="240" w:lineRule="auto"/>
              <w:rPr>
                <w:rFonts w:hint="default" w:ascii="Times New Roman" w:hAnsi="Times New Roman" w:eastAsia="宋体" w:cs="Times New Roman"/>
                <w:b/>
                <w:bCs/>
                <w:color w:val="auto"/>
                <w:szCs w:val="24"/>
                <w:highlight w:val="none"/>
                <w:lang w:bidi="ar"/>
              </w:rPr>
            </w:pPr>
            <w:r>
              <w:rPr>
                <w:rFonts w:hint="default" w:ascii="Times New Roman" w:hAnsi="Times New Roman" w:eastAsia="宋体" w:cs="Times New Roman"/>
                <w:b/>
                <w:bCs/>
                <w:color w:val="auto"/>
                <w:szCs w:val="24"/>
                <w:highlight w:val="none"/>
                <w:lang w:bidi="ar"/>
              </w:rPr>
              <w:t>表2</w:t>
            </w:r>
            <w:r>
              <w:rPr>
                <w:rFonts w:hint="eastAsia" w:eastAsia="宋体" w:cs="Times New Roman"/>
                <w:b/>
                <w:bCs/>
                <w:color w:val="auto"/>
                <w:szCs w:val="24"/>
                <w:highlight w:val="none"/>
                <w:lang w:val="en-US" w:eastAsia="zh-CN" w:bidi="ar"/>
              </w:rPr>
              <w:t>.1-</w:t>
            </w:r>
            <w:r>
              <w:rPr>
                <w:rFonts w:hint="default" w:ascii="Times New Roman" w:hAnsi="Times New Roman" w:eastAsia="宋体" w:cs="Times New Roman"/>
                <w:b/>
                <w:bCs/>
                <w:color w:val="auto"/>
                <w:szCs w:val="24"/>
                <w:highlight w:val="none"/>
                <w:lang w:bidi="ar"/>
              </w:rPr>
              <w:t>1 建设项目环境影响评价分类管理名录</w:t>
            </w:r>
          </w:p>
          <w:tbl>
            <w:tblPr>
              <w:tblStyle w:val="17"/>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761"/>
              <w:gridCol w:w="2419"/>
              <w:gridCol w:w="2329"/>
              <w:gridCol w:w="1235"/>
            </w:tblGrid>
            <w:tr w14:paraId="154D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4" w:type="dxa"/>
                  <w:gridSpan w:val="2"/>
                  <w:tcBorders>
                    <w:top w:val="single" w:color="auto" w:sz="12" w:space="0"/>
                    <w:left w:val="nil"/>
                    <w:tl2br w:val="single" w:color="auto" w:sz="4" w:space="0"/>
                  </w:tcBorders>
                  <w:noWrap w:val="0"/>
                  <w:vAlign w:val="center"/>
                </w:tcPr>
                <w:p w14:paraId="1F127CA4">
                  <w:pPr>
                    <w:pStyle w:val="24"/>
                    <w:jc w:val="righ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环评类别</w:t>
                  </w:r>
                </w:p>
                <w:p w14:paraId="7A596467">
                  <w:pPr>
                    <w:pStyle w:val="24"/>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项目类别</w:t>
                  </w:r>
                </w:p>
              </w:tc>
              <w:tc>
                <w:tcPr>
                  <w:tcW w:w="2419" w:type="dxa"/>
                  <w:tcBorders>
                    <w:top w:val="single" w:color="auto" w:sz="12" w:space="0"/>
                  </w:tcBorders>
                  <w:noWrap w:val="0"/>
                  <w:vAlign w:val="center"/>
                </w:tcPr>
                <w:p w14:paraId="11EDCDAB">
                  <w:pPr>
                    <w:pStyle w:val="2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报告书</w:t>
                  </w:r>
                </w:p>
              </w:tc>
              <w:tc>
                <w:tcPr>
                  <w:tcW w:w="2329" w:type="dxa"/>
                  <w:tcBorders>
                    <w:top w:val="single" w:color="auto" w:sz="12" w:space="0"/>
                  </w:tcBorders>
                  <w:shd w:val="clear" w:color="auto" w:fill="D7D7D7" w:themeFill="background1" w:themeFillShade="D8"/>
                  <w:noWrap w:val="0"/>
                  <w:vAlign w:val="center"/>
                </w:tcPr>
                <w:p w14:paraId="4D0908DB">
                  <w:pPr>
                    <w:pStyle w:val="2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报告表</w:t>
                  </w:r>
                </w:p>
              </w:tc>
              <w:tc>
                <w:tcPr>
                  <w:tcW w:w="1235" w:type="dxa"/>
                  <w:tcBorders>
                    <w:top w:val="single" w:color="auto" w:sz="12" w:space="0"/>
                    <w:right w:val="nil"/>
                  </w:tcBorders>
                  <w:noWrap w:val="0"/>
                  <w:vAlign w:val="center"/>
                </w:tcPr>
                <w:p w14:paraId="171F5148">
                  <w:pPr>
                    <w:pStyle w:val="24"/>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登记表</w:t>
                  </w:r>
                </w:p>
              </w:tc>
            </w:tr>
            <w:tr w14:paraId="2F2F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7" w:type="dxa"/>
                  <w:gridSpan w:val="5"/>
                  <w:tcBorders>
                    <w:left w:val="nil"/>
                    <w:right w:val="nil"/>
                  </w:tcBorders>
                  <w:shd w:val="clear" w:color="auto" w:fill="D7D7D7" w:themeFill="background1" w:themeFillShade="D8"/>
                  <w:noWrap w:val="0"/>
                  <w:vAlign w:val="center"/>
                </w:tcPr>
                <w:p w14:paraId="241E3D53">
                  <w:pPr>
                    <w:pStyle w:val="24"/>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二十、印刷和记录媒介复制业 23</w:t>
                  </w:r>
                </w:p>
              </w:tc>
            </w:tr>
            <w:tr w14:paraId="4EF7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tcBorders>
                    <w:left w:val="nil"/>
                  </w:tcBorders>
                  <w:noWrap w:val="0"/>
                  <w:vAlign w:val="center"/>
                </w:tcPr>
                <w:p w14:paraId="1A578A85">
                  <w:pPr>
                    <w:pStyle w:val="24"/>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39</w:t>
                  </w:r>
                </w:p>
              </w:tc>
              <w:tc>
                <w:tcPr>
                  <w:tcW w:w="1761" w:type="dxa"/>
                  <w:tcBorders>
                    <w:left w:val="nil"/>
                  </w:tcBorders>
                  <w:noWrap w:val="0"/>
                  <w:vAlign w:val="center"/>
                </w:tcPr>
                <w:p w14:paraId="14EA3A58">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印刷 231*</w:t>
                  </w:r>
                </w:p>
              </w:tc>
              <w:tc>
                <w:tcPr>
                  <w:tcW w:w="2419" w:type="dxa"/>
                  <w:noWrap w:val="0"/>
                  <w:vAlign w:val="center"/>
                </w:tcPr>
                <w:p w14:paraId="0412B22B">
                  <w:pPr>
                    <w:autoSpaceDE w:val="0"/>
                    <w:autoSpaceDN w:val="0"/>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年用溶剂油墨10吨及以上的</w:t>
                  </w:r>
                </w:p>
              </w:tc>
              <w:tc>
                <w:tcPr>
                  <w:tcW w:w="2329" w:type="dxa"/>
                  <w:shd w:val="clear" w:color="auto" w:fill="D7D7D7" w:themeFill="background1" w:themeFillShade="D8"/>
                  <w:noWrap w:val="0"/>
                  <w:vAlign w:val="center"/>
                </w:tcPr>
                <w:p w14:paraId="41D4F995">
                  <w:pPr>
                    <w:autoSpaceDE w:val="0"/>
                    <w:autoSpaceDN w:val="0"/>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其他（激光印刷除外；</w:t>
                  </w:r>
                </w:p>
                <w:p w14:paraId="7471B16E">
                  <w:pPr>
                    <w:autoSpaceDE w:val="0"/>
                    <w:autoSpaceDN w:val="0"/>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年用低VOCs含量油墨</w:t>
                  </w:r>
                </w:p>
                <w:p w14:paraId="65FCD4A2">
                  <w:pPr>
                    <w:autoSpaceDE w:val="0"/>
                    <w:autoSpaceDN w:val="0"/>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10吨以下的印刷除外）</w:t>
                  </w:r>
                </w:p>
              </w:tc>
              <w:tc>
                <w:tcPr>
                  <w:tcW w:w="1235" w:type="dxa"/>
                  <w:tcBorders>
                    <w:right w:val="nil"/>
                  </w:tcBorders>
                  <w:noWrap w:val="0"/>
                  <w:vAlign w:val="center"/>
                </w:tcPr>
                <w:p w14:paraId="014BCFAA">
                  <w:pPr>
                    <w:pStyle w:val="24"/>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w:t>
                  </w:r>
                </w:p>
              </w:tc>
            </w:tr>
            <w:tr w14:paraId="7753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7" w:type="dxa"/>
                  <w:gridSpan w:val="5"/>
                  <w:tcBorders>
                    <w:left w:val="nil"/>
                    <w:right w:val="nil"/>
                  </w:tcBorders>
                  <w:shd w:val="clear" w:color="auto" w:fill="D7D7D7" w:themeFill="background1" w:themeFillShade="D8"/>
                  <w:noWrap w:val="0"/>
                  <w:vAlign w:val="center"/>
                </w:tcPr>
                <w:p w14:paraId="7AC3A15E">
                  <w:pPr>
                    <w:pStyle w:val="24"/>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二十六、橡胶和塑料制品业 29</w:t>
                  </w:r>
                </w:p>
              </w:tc>
            </w:tr>
            <w:tr w14:paraId="0070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tcBorders>
                    <w:left w:val="nil"/>
                    <w:bottom w:val="single" w:color="auto" w:sz="12" w:space="0"/>
                  </w:tcBorders>
                  <w:noWrap w:val="0"/>
                  <w:vAlign w:val="center"/>
                </w:tcPr>
                <w:p w14:paraId="7998A264">
                  <w:pPr>
                    <w:pStyle w:val="24"/>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53</w:t>
                  </w:r>
                </w:p>
              </w:tc>
              <w:tc>
                <w:tcPr>
                  <w:tcW w:w="1761" w:type="dxa"/>
                  <w:tcBorders>
                    <w:left w:val="nil"/>
                    <w:bottom w:val="single" w:color="auto" w:sz="12" w:space="0"/>
                  </w:tcBorders>
                  <w:noWrap w:val="0"/>
                  <w:vAlign w:val="center"/>
                </w:tcPr>
                <w:p w14:paraId="414D3CC2">
                  <w:pPr>
                    <w:autoSpaceDE w:val="0"/>
                    <w:autoSpaceDN w:val="0"/>
                    <w:adjustRightInd w:val="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塑料制品业 292</w:t>
                  </w:r>
                </w:p>
              </w:tc>
              <w:tc>
                <w:tcPr>
                  <w:tcW w:w="2419" w:type="dxa"/>
                  <w:tcBorders>
                    <w:bottom w:val="single" w:color="auto" w:sz="12" w:space="0"/>
                  </w:tcBorders>
                  <w:noWrap w:val="0"/>
                  <w:vAlign w:val="center"/>
                </w:tcPr>
                <w:p w14:paraId="10592AFB">
                  <w:pPr>
                    <w:autoSpaceDE w:val="0"/>
                    <w:autoSpaceDN w:val="0"/>
                    <w:adjustRightInd w:val="0"/>
                    <w:jc w:val="both"/>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以再生塑料为原料生产的；有电镀工艺的；年用溶剂型胶粘剂10吨及以上的；年用溶剂型涂料（含稀释剂）10吨及以上的</w:t>
                  </w:r>
                </w:p>
              </w:tc>
              <w:tc>
                <w:tcPr>
                  <w:tcW w:w="2329" w:type="dxa"/>
                  <w:tcBorders>
                    <w:bottom w:val="single" w:color="auto" w:sz="12" w:space="0"/>
                  </w:tcBorders>
                  <w:shd w:val="clear" w:color="auto" w:fill="D7D7D7" w:themeFill="background1" w:themeFillShade="D8"/>
                  <w:noWrap w:val="0"/>
                  <w:vAlign w:val="center"/>
                </w:tcPr>
                <w:p w14:paraId="518433EA">
                  <w:pPr>
                    <w:autoSpaceDE w:val="0"/>
                    <w:autoSpaceDN w:val="0"/>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其他（年用非溶剂型低</w:t>
                  </w:r>
                </w:p>
                <w:p w14:paraId="3D8AF843">
                  <w:pPr>
                    <w:autoSpaceDE w:val="0"/>
                    <w:autoSpaceDN w:val="0"/>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VOCs含量涂料10吨</w:t>
                  </w:r>
                  <w:r>
                    <w:rPr>
                      <w:rFonts w:hint="eastAsia" w:ascii="Times New Roman" w:hAnsi="Times New Roman" w:eastAsia="宋体" w:cs="Times New Roman"/>
                      <w:color w:val="auto"/>
                      <w:szCs w:val="21"/>
                      <w:highlight w:val="none"/>
                      <w:lang w:eastAsia="zh-CN"/>
                    </w:rPr>
                    <w:t>以上</w:t>
                  </w:r>
                </w:p>
                <w:p w14:paraId="17260C4A">
                  <w:pPr>
                    <w:autoSpaceDE w:val="0"/>
                    <w:autoSpaceDN w:val="0"/>
                    <w:spacing w:line="340" w:lineRule="exac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下的除外）</w:t>
                  </w:r>
                </w:p>
              </w:tc>
              <w:tc>
                <w:tcPr>
                  <w:tcW w:w="1235" w:type="dxa"/>
                  <w:tcBorders>
                    <w:bottom w:val="single" w:color="auto" w:sz="12" w:space="0"/>
                    <w:right w:val="nil"/>
                  </w:tcBorders>
                  <w:noWrap w:val="0"/>
                  <w:vAlign w:val="center"/>
                </w:tcPr>
                <w:p w14:paraId="5CD0D7ED">
                  <w:pPr>
                    <w:pStyle w:val="24"/>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w:t>
                  </w:r>
                </w:p>
              </w:tc>
            </w:tr>
          </w:tbl>
          <w:p w14:paraId="6B60E2E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因此，我司受委托后即派技术人员现场踏勘和收集有关资料，并依照相关规定编写成本项目环境影响报告表，供建设单位报生态环境主管部门审批。</w:t>
            </w:r>
          </w:p>
          <w:p w14:paraId="15BF7FA4">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eastAsia="宋体" w:cs="Times New Roman"/>
                <w:b/>
                <w:bCs/>
                <w:color w:val="000000"/>
                <w:kern w:val="0"/>
                <w:sz w:val="28"/>
                <w:szCs w:val="28"/>
                <w:highlight w:val="none"/>
                <w:lang w:val="en-US" w:eastAsia="zh-CN" w:bidi="ar"/>
              </w:rPr>
              <w:t>2.2 项目概况</w:t>
            </w:r>
          </w:p>
          <w:p w14:paraId="1D84F121">
            <w:pPr>
              <w:pStyle w:val="25"/>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（1）项目名称：绿生源户外用品生产</w:t>
            </w:r>
          </w:p>
          <w:p w14:paraId="1AF25865">
            <w:pPr>
              <w:pStyle w:val="25"/>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（2）建设单位：福建绿生源户外用品有限公司</w:t>
            </w:r>
          </w:p>
          <w:p w14:paraId="3FA8430C">
            <w:pPr>
              <w:pStyle w:val="25"/>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（3）建设地点：泉州市永春县蓬壶镇</w:t>
            </w:r>
            <w:r>
              <w:rPr>
                <w:rFonts w:hint="eastAsia" w:cs="Times New Roman"/>
                <w:color w:val="auto"/>
                <w:sz w:val="24"/>
                <w:highlight w:val="none"/>
                <w:lang w:val="en-US" w:eastAsia="zh-CN"/>
              </w:rPr>
              <w:t>蓬壶</w:t>
            </w:r>
            <w:r>
              <w:rPr>
                <w:rFonts w:hint="default" w:ascii="Times New Roman" w:hAnsi="Times New Roman" w:cs="Times New Roman"/>
                <w:color w:val="auto"/>
                <w:sz w:val="24"/>
                <w:highlight w:val="none"/>
              </w:rPr>
              <w:t>工业园</w:t>
            </w:r>
            <w:r>
              <w:rPr>
                <w:rFonts w:hint="eastAsia" w:cs="Times New Roman"/>
                <w:color w:val="auto"/>
                <w:sz w:val="24"/>
                <w:highlight w:val="none"/>
                <w:lang w:eastAsia="zh-CN"/>
              </w:rPr>
              <w:t>29</w:t>
            </w:r>
            <w:r>
              <w:rPr>
                <w:rFonts w:hint="default" w:ascii="Times New Roman" w:hAnsi="Times New Roman" w:cs="Times New Roman"/>
                <w:color w:val="auto"/>
                <w:sz w:val="24"/>
                <w:highlight w:val="none"/>
              </w:rPr>
              <w:t>号</w:t>
            </w:r>
            <w:r>
              <w:rPr>
                <w:rFonts w:hint="eastAsia" w:cs="Times New Roman"/>
                <w:color w:val="auto"/>
                <w:sz w:val="24"/>
                <w:highlight w:val="none"/>
                <w:lang w:val="en-US" w:eastAsia="zh-CN"/>
              </w:rPr>
              <w:t>B栋</w:t>
            </w:r>
            <w:r>
              <w:rPr>
                <w:rFonts w:hint="eastAsia" w:cs="Times New Roman"/>
                <w:color w:val="auto"/>
                <w:sz w:val="24"/>
                <w:highlight w:val="none"/>
                <w:lang w:eastAsia="zh-CN"/>
              </w:rPr>
              <w:t>、</w:t>
            </w:r>
            <w:r>
              <w:rPr>
                <w:rFonts w:hint="eastAsia" w:cs="Times New Roman"/>
                <w:color w:val="auto"/>
                <w:sz w:val="24"/>
                <w:highlight w:val="none"/>
                <w:lang w:val="en-US" w:eastAsia="zh-CN"/>
              </w:rPr>
              <w:t>58号</w:t>
            </w:r>
          </w:p>
          <w:p w14:paraId="18C962CA">
            <w:pPr>
              <w:pStyle w:val="25"/>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（4）建设性质：</w:t>
            </w:r>
            <w:r>
              <w:rPr>
                <w:rFonts w:hint="eastAsia" w:cs="Times New Roman"/>
                <w:color w:val="auto"/>
                <w:sz w:val="24"/>
                <w:highlight w:val="none"/>
                <w:lang w:val="en-US" w:eastAsia="zh-CN"/>
              </w:rPr>
              <w:t>新</w:t>
            </w:r>
            <w:r>
              <w:rPr>
                <w:rFonts w:hint="default" w:ascii="Times New Roman" w:hAnsi="Times New Roman" w:cs="Times New Roman"/>
                <w:color w:val="auto"/>
                <w:sz w:val="24"/>
                <w:highlight w:val="none"/>
              </w:rPr>
              <w:t>建</w:t>
            </w:r>
          </w:p>
          <w:p w14:paraId="026D8D96">
            <w:pPr>
              <w:pStyle w:val="25"/>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建筑面积：租赁厂房面积</w:t>
            </w:r>
            <w:r>
              <w:rPr>
                <w:rFonts w:hint="eastAsia" w:cs="Times New Roman"/>
                <w:color w:val="auto"/>
                <w:sz w:val="24"/>
                <w:highlight w:val="none"/>
                <w:lang w:val="en-US" w:eastAsia="zh-CN"/>
              </w:rPr>
              <w:t>约</w:t>
            </w:r>
            <w:r>
              <w:rPr>
                <w:rFonts w:hint="eastAsia" w:ascii="Times New Roman" w:hAnsi="Times New Roman" w:eastAsia="宋体" w:cs="Times New Roman"/>
                <w:sz w:val="24"/>
                <w:szCs w:val="24"/>
                <w:highlight w:val="none"/>
                <w:lang w:val="en-US" w:eastAsia="zh-CN"/>
              </w:rPr>
              <w:t>8633.82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2</w:t>
            </w:r>
          </w:p>
          <w:p w14:paraId="1DFA23DA">
            <w:pPr>
              <w:pStyle w:val="25"/>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）项目投资：总投资</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000</w:t>
            </w:r>
            <w:r>
              <w:rPr>
                <w:rFonts w:hint="default" w:ascii="Times New Roman" w:hAnsi="Times New Roman" w:cs="Times New Roman"/>
                <w:color w:val="auto"/>
                <w:sz w:val="24"/>
                <w:highlight w:val="none"/>
              </w:rPr>
              <w:t>万元，环保投资50</w:t>
            </w:r>
            <w:r>
              <w:rPr>
                <w:rFonts w:hint="eastAsia" w:cs="Times New Roman"/>
                <w:color w:val="auto"/>
                <w:sz w:val="24"/>
                <w:highlight w:val="none"/>
                <w:lang w:eastAsia="zh-CN"/>
              </w:rPr>
              <w:t>万元</w:t>
            </w:r>
            <w:r>
              <w:rPr>
                <w:rFonts w:hint="default" w:ascii="Times New Roman" w:hAnsi="Times New Roman" w:cs="Times New Roman"/>
                <w:color w:val="auto"/>
                <w:sz w:val="24"/>
                <w:highlight w:val="none"/>
              </w:rPr>
              <w:t>，占总投资</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p>
          <w:p w14:paraId="7D26AC8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）生产规模：年产充气床1</w:t>
            </w:r>
            <w:r>
              <w:rPr>
                <w:rFonts w:hint="eastAsia" w:ascii="Times New Roman" w:hAnsi="Times New Roman" w:eastAsia="宋体" w:cs="Times New Roman"/>
                <w:color w:val="auto"/>
                <w:sz w:val="24"/>
                <w:highlight w:val="none"/>
                <w:lang w:val="en-US" w:eastAsia="zh-CN"/>
              </w:rPr>
              <w:t>5</w:t>
            </w:r>
            <w:r>
              <w:rPr>
                <w:rFonts w:hint="default" w:ascii="Times New Roman" w:hAnsi="Times New Roman" w:cs="Times New Roman"/>
                <w:color w:val="auto"/>
                <w:sz w:val="24"/>
                <w:highlight w:val="none"/>
              </w:rPr>
              <w:t>0万个</w:t>
            </w:r>
            <w:r>
              <w:rPr>
                <w:rFonts w:hint="default" w:ascii="Times New Roman" w:hAnsi="Times New Roman" w:eastAsia="宋体" w:cs="Times New Roman"/>
                <w:b w:val="0"/>
                <w:bCs w:val="0"/>
                <w:color w:val="000000"/>
                <w:kern w:val="0"/>
                <w:sz w:val="24"/>
                <w:szCs w:val="24"/>
                <w:highlight w:val="none"/>
                <w:lang w:val="en-US" w:eastAsia="zh-CN" w:bidi="ar"/>
              </w:rPr>
              <w:t>，</w:t>
            </w:r>
            <w:r>
              <w:rPr>
                <w:rFonts w:hint="eastAsia" w:ascii="Times New Roman" w:hAnsi="Times New Roman" w:eastAsia="宋体" w:cs="Times New Roman"/>
                <w:b w:val="0"/>
                <w:bCs w:val="0"/>
                <w:color w:val="000000"/>
                <w:kern w:val="0"/>
                <w:sz w:val="24"/>
                <w:szCs w:val="24"/>
                <w:highlight w:val="none"/>
                <w:lang w:val="en-US" w:eastAsia="zh-CN" w:bidi="ar"/>
              </w:rPr>
              <w:t>露营垫30万个，箱包15万个</w:t>
            </w:r>
          </w:p>
          <w:p w14:paraId="1FB0047C">
            <w:pPr>
              <w:pStyle w:val="25"/>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）职工人数：</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人</w:t>
            </w:r>
          </w:p>
          <w:p w14:paraId="576589D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）工作制度：3</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天，每天</w:t>
            </w:r>
            <w:r>
              <w:rPr>
                <w:rFonts w:hint="eastAsia" w:ascii="Times New Roman" w:hAnsi="Times New Roman" w:eastAsia="宋体" w:cs="Times New Roman"/>
                <w:color w:val="auto"/>
                <w:sz w:val="24"/>
                <w:highlight w:val="none"/>
                <w:lang w:val="en-US" w:eastAsia="zh-CN"/>
              </w:rPr>
              <w:t>双</w:t>
            </w:r>
            <w:r>
              <w:rPr>
                <w:rFonts w:hint="default" w:ascii="Times New Roman" w:hAnsi="Times New Roman" w:cs="Times New Roman"/>
                <w:color w:val="auto"/>
                <w:sz w:val="24"/>
                <w:highlight w:val="none"/>
              </w:rPr>
              <w:t>班制，每班</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cs="Times New Roman"/>
                <w:color w:val="auto"/>
                <w:sz w:val="24"/>
                <w:highlight w:val="none"/>
              </w:rPr>
              <w:t>小时</w:t>
            </w:r>
          </w:p>
          <w:p w14:paraId="5517A70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eastAsia="宋体" w:cs="Times New Roman"/>
                <w:b/>
                <w:bCs/>
                <w:color w:val="000000"/>
                <w:kern w:val="0"/>
                <w:sz w:val="28"/>
                <w:szCs w:val="28"/>
                <w:highlight w:val="none"/>
                <w:lang w:val="en-US" w:eastAsia="zh-CN" w:bidi="ar"/>
              </w:rPr>
              <w:t>2.3 出租方情况</w:t>
            </w:r>
          </w:p>
          <w:p w14:paraId="4589DCF2">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（1）出租方情况简介</w:t>
            </w:r>
          </w:p>
          <w:p w14:paraId="29969B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本项目位于福建省泉州市永春县</w:t>
            </w:r>
            <w:r>
              <w:rPr>
                <w:rFonts w:hint="default" w:ascii="Times New Roman" w:hAnsi="Times New Roman" w:cs="Times New Roman"/>
                <w:color w:val="auto"/>
                <w:sz w:val="24"/>
                <w:highlight w:val="none"/>
                <w:lang w:val="en-US" w:eastAsia="zh-CN"/>
              </w:rPr>
              <w:t>蓬壶镇蓬壶</w:t>
            </w:r>
            <w:r>
              <w:rPr>
                <w:rFonts w:hint="default" w:ascii="Times New Roman" w:hAnsi="Times New Roman" w:cs="Times New Roman"/>
                <w:color w:val="auto"/>
                <w:sz w:val="24"/>
                <w:highlight w:val="none"/>
              </w:rPr>
              <w:t>工业园</w:t>
            </w:r>
            <w:r>
              <w:rPr>
                <w:rFonts w:hint="eastAsia" w:ascii="Times New Roman" w:hAnsi="Times New Roman" w:cs="Times New Roman"/>
                <w:color w:val="auto"/>
                <w:sz w:val="24"/>
                <w:highlight w:val="none"/>
                <w:lang w:val="en-US" w:eastAsia="zh-CN"/>
              </w:rPr>
              <w:t>29</w:t>
            </w:r>
            <w:r>
              <w:rPr>
                <w:rFonts w:hint="default" w:ascii="Times New Roman" w:hAnsi="Times New Roman" w:cs="Times New Roman"/>
                <w:color w:val="auto"/>
                <w:sz w:val="24"/>
                <w:highlight w:val="none"/>
                <w:lang w:val="en-US" w:eastAsia="zh-CN"/>
              </w:rPr>
              <w:t>号</w:t>
            </w:r>
            <w:r>
              <w:rPr>
                <w:rFonts w:hint="eastAsia" w:ascii="Times New Roman" w:hAnsi="Times New Roman" w:cs="Times New Roman"/>
                <w:color w:val="auto"/>
                <w:sz w:val="24"/>
                <w:highlight w:val="none"/>
                <w:lang w:val="en-US" w:eastAsia="zh-CN"/>
              </w:rPr>
              <w:t>B栋、58号</w:t>
            </w:r>
            <w:r>
              <w:rPr>
                <w:rFonts w:hint="default" w:ascii="Times New Roman" w:hAnsi="Times New Roman" w:cs="Times New Roman"/>
                <w:color w:val="auto"/>
                <w:sz w:val="24"/>
                <w:highlight w:val="none"/>
              </w:rPr>
              <w:t>，</w:t>
            </w:r>
            <w:r>
              <w:rPr>
                <w:rFonts w:hint="eastAsia" w:ascii="Times New Roman" w:hAnsi="Times New Roman" w:eastAsia="宋体" w:cs="Times New Roman"/>
                <w:color w:val="auto"/>
                <w:sz w:val="24"/>
                <w:highlight w:val="none"/>
                <w:lang w:val="en-US" w:eastAsia="zh-CN"/>
              </w:rPr>
              <w:t>29号</w:t>
            </w:r>
            <w:r>
              <w:rPr>
                <w:rFonts w:hint="default" w:ascii="Times New Roman" w:hAnsi="Times New Roman" w:cs="Times New Roman"/>
                <w:color w:val="auto"/>
                <w:sz w:val="24"/>
                <w:highlight w:val="none"/>
              </w:rPr>
              <w:t>厂房为泉州坤鑫腾智能科技有限公司所有。泉州坤鑫腾智能科技有限公司主要从事一般项目塑料制品销售、塑料制品制造、人工智能应用软件开发、软件开发、电子元器件制造、人工智能行业应用系统集成服务、工程管理服务、信息系统集成</w:t>
            </w:r>
            <w:r>
              <w:rPr>
                <w:rFonts w:hint="eastAsia" w:ascii="Times New Roman" w:hAnsi="Times New Roman" w:eastAsia="宋体" w:cs="Times New Roman"/>
                <w:color w:val="auto"/>
                <w:sz w:val="24"/>
                <w:highlight w:val="none"/>
                <w:lang w:eastAsia="zh-CN"/>
              </w:rPr>
              <w:t>服务</w:t>
            </w:r>
            <w:r>
              <w:rPr>
                <w:rFonts w:hint="default" w:ascii="Times New Roman" w:hAnsi="Times New Roman" w:cs="Times New Roman"/>
                <w:color w:val="auto"/>
                <w:sz w:val="24"/>
                <w:highlight w:val="none"/>
              </w:rPr>
              <w:t>和解决方案等业务的公司。</w:t>
            </w:r>
          </w:p>
          <w:p w14:paraId="5E01242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58号厂房为福建启亿科技有限公司所有，福建启亿科技有限公司经营范围包括电力设施器材制造；配电开关控制设备制造；电力电子元器件制造；机械电气设备制造；变压器、整流器和电感器制造；电子元器件制造；发电机及发电机组制造；光伏设备及元器件制造；配电开关控制设备研发；电力电子元器件销售；电气设备销售；机械电气设备销售；发电机及发电机组销售；光伏设备及元器件销售；配电开关控制设备销售</w:t>
            </w:r>
            <w:r>
              <w:rPr>
                <w:rFonts w:hint="default" w:ascii="Times New Roman" w:hAnsi="Times New Roman" w:cs="Times New Roman"/>
                <w:color w:val="auto"/>
                <w:sz w:val="24"/>
                <w:highlight w:val="none"/>
              </w:rPr>
              <w:t>等业务的公司</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项目租赁厂房</w:t>
            </w:r>
            <w:r>
              <w:rPr>
                <w:rFonts w:hint="eastAsia" w:ascii="Times New Roman" w:hAnsi="Times New Roman" w:eastAsia="宋体" w:cs="Times New Roman"/>
                <w:color w:val="auto"/>
                <w:sz w:val="24"/>
                <w:highlight w:val="none"/>
                <w:lang w:val="en-US" w:eastAsia="zh-CN"/>
              </w:rPr>
              <w:t>作为</w:t>
            </w:r>
            <w:r>
              <w:rPr>
                <w:rFonts w:hint="default" w:ascii="Times New Roman" w:hAnsi="Times New Roman" w:cs="Times New Roman"/>
                <w:color w:val="auto"/>
                <w:sz w:val="24"/>
                <w:highlight w:val="none"/>
              </w:rPr>
              <w:t>生产场所</w:t>
            </w:r>
            <w:r>
              <w:rPr>
                <w:rFonts w:hint="eastAsia" w:ascii="Times New Roman" w:hAnsi="Times New Roman" w:eastAsia="宋体" w:cs="Times New Roman"/>
                <w:color w:val="auto"/>
                <w:sz w:val="24"/>
                <w:highlight w:val="none"/>
                <w:lang w:val="en-US" w:eastAsia="zh-CN"/>
              </w:rPr>
              <w:t>使用</w:t>
            </w:r>
            <w:r>
              <w:rPr>
                <w:rFonts w:hint="default" w:ascii="Times New Roman" w:hAnsi="Times New Roman" w:cs="Times New Roman"/>
                <w:color w:val="auto"/>
                <w:sz w:val="24"/>
                <w:highlight w:val="none"/>
                <w:lang w:val="en-US" w:eastAsia="zh-CN"/>
              </w:rPr>
              <w:t>。</w:t>
            </w:r>
          </w:p>
          <w:p w14:paraId="2306086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（2）项目与场地出租方的依托关系</w:t>
            </w:r>
          </w:p>
          <w:p w14:paraId="10874D7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①项目租用泉州坤鑫腾智能科技有限公司</w:t>
            </w:r>
            <w:r>
              <w:rPr>
                <w:rFonts w:hint="eastAsia" w:ascii="Times New Roman" w:hAnsi="Times New Roman" w:eastAsia="宋体" w:cs="Times New Roman"/>
                <w:color w:val="auto"/>
                <w:sz w:val="24"/>
                <w:highlight w:val="none"/>
                <w:lang w:eastAsia="zh-CN"/>
              </w:rPr>
              <w:t>、福建启亿科技有限公司</w:t>
            </w:r>
            <w:r>
              <w:rPr>
                <w:rFonts w:hint="default" w:ascii="Times New Roman" w:hAnsi="Times New Roman" w:cs="Times New Roman"/>
                <w:color w:val="auto"/>
                <w:sz w:val="24"/>
                <w:highlight w:val="none"/>
              </w:rPr>
              <w:t>的现有厂房进行项目建设；</w:t>
            </w:r>
          </w:p>
          <w:p w14:paraId="19B3402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②项目员工生活垃圾内部收集后由出租方定点收集后交由环卫部门清理；</w:t>
            </w:r>
          </w:p>
          <w:p w14:paraId="3BF5F8F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③项目生活污水主要依托出租方在该厂区</w:t>
            </w:r>
            <w:r>
              <w:rPr>
                <w:rFonts w:hint="eastAsia" w:ascii="Times New Roman" w:hAnsi="Times New Roman" w:eastAsia="宋体" w:cs="Times New Roman"/>
                <w:color w:val="auto"/>
                <w:sz w:val="24"/>
                <w:highlight w:val="none"/>
                <w:lang w:val="en-US" w:eastAsia="zh-CN"/>
              </w:rPr>
              <w:t>建造的</w:t>
            </w:r>
            <w:r>
              <w:rPr>
                <w:rFonts w:hint="default" w:ascii="Times New Roman" w:hAnsi="Times New Roman" w:cs="Times New Roman"/>
                <w:color w:val="auto"/>
                <w:sz w:val="24"/>
                <w:highlight w:val="none"/>
              </w:rPr>
              <w:t>单独配套化粪池进行处理</w:t>
            </w:r>
            <w:r>
              <w:rPr>
                <w:rFonts w:hint="eastAsia" w:ascii="Times New Roman" w:hAnsi="Times New Roman" w:eastAsia="宋体" w:cs="Times New Roman"/>
                <w:color w:val="auto"/>
                <w:sz w:val="24"/>
                <w:highlight w:val="none"/>
                <w:lang w:val="en-US" w:eastAsia="zh-CN"/>
              </w:rPr>
              <w:t>。</w:t>
            </w:r>
          </w:p>
          <w:p w14:paraId="1B338E2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8"/>
                <w:szCs w:val="28"/>
                <w:highlight w:val="none"/>
                <w:lang w:val="en-US" w:eastAsia="zh-CN" w:bidi="ar"/>
              </w:rPr>
            </w:pPr>
            <w:r>
              <w:rPr>
                <w:rFonts w:hint="default" w:ascii="Times New Roman" w:hAnsi="Times New Roman" w:eastAsia="宋体" w:cs="Times New Roman"/>
                <w:b/>
                <w:bCs/>
                <w:color w:val="000000"/>
                <w:kern w:val="0"/>
                <w:sz w:val="28"/>
                <w:szCs w:val="28"/>
                <w:highlight w:val="none"/>
                <w:lang w:val="en-US" w:eastAsia="zh-CN" w:bidi="ar"/>
              </w:rPr>
              <w:t>2.4 项目基本组成</w:t>
            </w:r>
          </w:p>
          <w:p w14:paraId="4127EF4B">
            <w:pPr>
              <w:pStyle w:val="25"/>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项目主要</w:t>
            </w:r>
            <w:r>
              <w:rPr>
                <w:rFonts w:hint="default" w:ascii="Times New Roman" w:hAnsi="Times New Roman" w:cs="Times New Roman"/>
                <w:color w:val="auto"/>
                <w:sz w:val="24"/>
                <w:highlight w:val="none"/>
                <w:lang w:val="en-US" w:eastAsia="zh-CN"/>
              </w:rPr>
              <w:t>组成</w:t>
            </w:r>
            <w:r>
              <w:rPr>
                <w:rFonts w:hint="default" w:ascii="Times New Roman" w:hAnsi="Times New Roman" w:cs="Times New Roman"/>
                <w:color w:val="auto"/>
                <w:sz w:val="24"/>
                <w:highlight w:val="none"/>
              </w:rPr>
              <w:t>内容详见表2</w:t>
            </w:r>
            <w:r>
              <w:rPr>
                <w:rFonts w:hint="eastAsia" w:cs="Times New Roman"/>
                <w:color w:val="auto"/>
                <w:sz w:val="24"/>
                <w:highlight w:val="none"/>
                <w:lang w:val="en-US" w:eastAsia="zh-CN"/>
              </w:rPr>
              <w:t>.4-1</w:t>
            </w:r>
            <w:r>
              <w:rPr>
                <w:rFonts w:hint="default" w:ascii="Times New Roman" w:hAnsi="Times New Roman" w:cs="Times New Roman"/>
                <w:color w:val="auto"/>
                <w:sz w:val="24"/>
                <w:highlight w:val="none"/>
              </w:rPr>
              <w:t>。</w:t>
            </w:r>
          </w:p>
          <w:p w14:paraId="1057598F">
            <w:pPr>
              <w:spacing w:before="120" w:beforeLines="50" w:line="360" w:lineRule="auto"/>
              <w:jc w:val="center"/>
              <w:rPr>
                <w:rFonts w:hint="default" w:ascii="Times New Roman" w:hAnsi="Times New Roman" w:cs="Times New Roman"/>
                <w:color w:val="auto"/>
                <w:highlight w:val="none"/>
              </w:rPr>
            </w:pPr>
            <w:r>
              <w:rPr>
                <w:rFonts w:hint="default" w:ascii="Times New Roman" w:hAnsi="Times New Roman"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.4-1</w:t>
            </w:r>
            <w:r>
              <w:rPr>
                <w:rFonts w:hint="default" w:ascii="Times New Roman" w:hAnsi="Times New Roman" w:cs="Times New Roman"/>
                <w:b/>
                <w:color w:val="auto"/>
                <w:sz w:val="24"/>
                <w:highlight w:val="none"/>
              </w:rPr>
              <w:t xml:space="preserve"> 项目主要建设内容</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83"/>
              <w:gridCol w:w="5207"/>
              <w:gridCol w:w="835"/>
            </w:tblGrid>
            <w:tr w14:paraId="4BD3F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tcBorders>
                    <w:tl2br w:val="nil"/>
                    <w:tr2bl w:val="nil"/>
                  </w:tcBorders>
                  <w:noWrap w:val="0"/>
                  <w:vAlign w:val="center"/>
                </w:tcPr>
                <w:p w14:paraId="138B78A1">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工程类别</w:t>
                  </w:r>
                </w:p>
              </w:tc>
              <w:tc>
                <w:tcPr>
                  <w:tcW w:w="1005" w:type="pct"/>
                  <w:tcBorders>
                    <w:tl2br w:val="nil"/>
                    <w:tr2bl w:val="nil"/>
                  </w:tcBorders>
                  <w:noWrap w:val="0"/>
                  <w:vAlign w:val="center"/>
                </w:tcPr>
                <w:p w14:paraId="638B3C05">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工程内容</w:t>
                  </w:r>
                </w:p>
              </w:tc>
              <w:tc>
                <w:tcPr>
                  <w:tcW w:w="3109" w:type="pct"/>
                  <w:tcBorders>
                    <w:tl2br w:val="nil"/>
                    <w:tr2bl w:val="nil"/>
                  </w:tcBorders>
                  <w:noWrap w:val="0"/>
                  <w:vAlign w:val="center"/>
                </w:tcPr>
                <w:p w14:paraId="79952FBA">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color w:val="auto"/>
                      <w:sz w:val="21"/>
                      <w:szCs w:val="21"/>
                      <w:highlight w:val="none"/>
                    </w:rPr>
                    <w:t>建设规模及内容</w:t>
                  </w:r>
                </w:p>
              </w:tc>
              <w:tc>
                <w:tcPr>
                  <w:tcW w:w="498" w:type="pct"/>
                  <w:tcBorders>
                    <w:tl2br w:val="nil"/>
                    <w:tr2bl w:val="nil"/>
                  </w:tcBorders>
                  <w:noWrap w:val="0"/>
                  <w:vAlign w:val="center"/>
                </w:tcPr>
                <w:p w14:paraId="4FE30105">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备注</w:t>
                  </w:r>
                </w:p>
              </w:tc>
            </w:tr>
            <w:tr w14:paraId="50CBF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386" w:type="pct"/>
                  <w:vMerge w:val="restart"/>
                  <w:tcBorders>
                    <w:tl2br w:val="nil"/>
                    <w:tr2bl w:val="nil"/>
                  </w:tcBorders>
                  <w:noWrap w:val="0"/>
                  <w:vAlign w:val="center"/>
                </w:tcPr>
                <w:p w14:paraId="272E0B2A">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主体工程</w:t>
                  </w:r>
                </w:p>
              </w:tc>
              <w:tc>
                <w:tcPr>
                  <w:tcW w:w="1005" w:type="pct"/>
                  <w:tcBorders>
                    <w:tl2br w:val="nil"/>
                    <w:tr2bl w:val="nil"/>
                  </w:tcBorders>
                  <w:noWrap w:val="0"/>
                  <w:vAlign w:val="center"/>
                </w:tcPr>
                <w:p w14:paraId="26E404B4">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29号B栋厂房</w:t>
                  </w:r>
                </w:p>
              </w:tc>
              <w:tc>
                <w:tcPr>
                  <w:tcW w:w="3109" w:type="pct"/>
                  <w:tcBorders>
                    <w:tl2br w:val="nil"/>
                    <w:tr2bl w:val="nil"/>
                  </w:tcBorders>
                  <w:noWrap w:val="0"/>
                  <w:vAlign w:val="center"/>
                </w:tcPr>
                <w:p w14:paraId="7BAB0668">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设置有高频车间、裁剪车间、印刷车间、充气检验车间、包装区域、原料仓及成品仓库</w:t>
                  </w:r>
                </w:p>
              </w:tc>
              <w:tc>
                <w:tcPr>
                  <w:tcW w:w="498" w:type="pct"/>
                  <w:tcBorders>
                    <w:tl2br w:val="nil"/>
                    <w:tr2bl w:val="nil"/>
                  </w:tcBorders>
                  <w:noWrap w:val="0"/>
                  <w:vAlign w:val="center"/>
                </w:tcPr>
                <w:p w14:paraId="058EDBAB">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4D360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86" w:type="pct"/>
                  <w:vMerge w:val="continue"/>
                  <w:tcBorders>
                    <w:tl2br w:val="nil"/>
                    <w:tr2bl w:val="nil"/>
                  </w:tcBorders>
                  <w:noWrap w:val="0"/>
                  <w:vAlign w:val="center"/>
                </w:tcPr>
                <w:p w14:paraId="54524F3B">
                  <w:pPr>
                    <w:tabs>
                      <w:tab w:val="left" w:pos="1980"/>
                      <w:tab w:val="left" w:pos="3825"/>
                      <w:tab w:val="left" w:pos="4680"/>
                    </w:tabs>
                    <w:adjustRightInd w:val="0"/>
                    <w:snapToGrid w:val="0"/>
                    <w:spacing w:line="320" w:lineRule="exact"/>
                    <w:jc w:val="center"/>
                    <w:rPr>
                      <w:highlight w:val="none"/>
                    </w:rPr>
                  </w:pPr>
                </w:p>
              </w:tc>
              <w:tc>
                <w:tcPr>
                  <w:tcW w:w="1005" w:type="pct"/>
                  <w:tcBorders>
                    <w:tl2br w:val="nil"/>
                    <w:tr2bl w:val="nil"/>
                  </w:tcBorders>
                  <w:noWrap w:val="0"/>
                  <w:vAlign w:val="center"/>
                </w:tcPr>
                <w:p w14:paraId="4D7D4D22">
                  <w:pPr>
                    <w:tabs>
                      <w:tab w:val="left" w:pos="1980"/>
                      <w:tab w:val="left" w:pos="3825"/>
                      <w:tab w:val="left" w:pos="4680"/>
                    </w:tabs>
                    <w:adjustRightInd w:val="0"/>
                    <w:snapToGrid w:val="0"/>
                    <w:spacing w:line="320" w:lineRule="exact"/>
                    <w:jc w:val="center"/>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58号厂房</w:t>
                  </w:r>
                </w:p>
              </w:tc>
              <w:tc>
                <w:tcPr>
                  <w:tcW w:w="3109" w:type="pct"/>
                  <w:tcBorders>
                    <w:tl2br w:val="nil"/>
                    <w:tr2bl w:val="nil"/>
                  </w:tcBorders>
                  <w:noWrap w:val="0"/>
                  <w:vAlign w:val="center"/>
                </w:tcPr>
                <w:p w14:paraId="02C8DC24">
                  <w:pPr>
                    <w:tabs>
                      <w:tab w:val="left" w:pos="1980"/>
                      <w:tab w:val="left" w:pos="3825"/>
                      <w:tab w:val="left" w:pos="4680"/>
                    </w:tabs>
                    <w:adjustRightInd w:val="0"/>
                    <w:snapToGrid w:val="0"/>
                    <w:spacing w:line="32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设置有高频车间、充气检验车间、包装区域及成品仓库</w:t>
                  </w:r>
                </w:p>
              </w:tc>
              <w:tc>
                <w:tcPr>
                  <w:tcW w:w="498" w:type="pct"/>
                  <w:tcBorders>
                    <w:tl2br w:val="nil"/>
                    <w:tr2bl w:val="nil"/>
                  </w:tcBorders>
                  <w:noWrap w:val="0"/>
                  <w:vAlign w:val="center"/>
                </w:tcPr>
                <w:p w14:paraId="7DF075D0">
                  <w:pPr>
                    <w:tabs>
                      <w:tab w:val="left" w:pos="1980"/>
                      <w:tab w:val="left" w:pos="3825"/>
                      <w:tab w:val="left" w:pos="4680"/>
                    </w:tabs>
                    <w:adjustRightInd w:val="0"/>
                    <w:snapToGrid w:val="0"/>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kern w:val="0"/>
                      <w:sz w:val="21"/>
                      <w:szCs w:val="21"/>
                      <w:highlight w:val="none"/>
                    </w:rPr>
                    <w:t>/</w:t>
                  </w:r>
                </w:p>
              </w:tc>
            </w:tr>
            <w:tr w14:paraId="6CDAF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l2br w:val="nil"/>
                    <w:tr2bl w:val="nil"/>
                  </w:tcBorders>
                  <w:noWrap w:val="0"/>
                  <w:vAlign w:val="center"/>
                </w:tcPr>
                <w:p w14:paraId="348D644B">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color w:val="auto"/>
                      <w:sz w:val="21"/>
                      <w:szCs w:val="21"/>
                      <w:highlight w:val="none"/>
                    </w:rPr>
                    <w:t>辅助工程</w:t>
                  </w:r>
                </w:p>
              </w:tc>
              <w:tc>
                <w:tcPr>
                  <w:tcW w:w="1005" w:type="pct"/>
                  <w:tcBorders>
                    <w:tl2br w:val="nil"/>
                    <w:tr2bl w:val="nil"/>
                  </w:tcBorders>
                  <w:noWrap w:val="0"/>
                  <w:vAlign w:val="center"/>
                </w:tcPr>
                <w:p w14:paraId="526E78A5">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办公区</w:t>
                  </w:r>
                </w:p>
              </w:tc>
              <w:tc>
                <w:tcPr>
                  <w:tcW w:w="3109" w:type="pct"/>
                  <w:tcBorders>
                    <w:tl2br w:val="nil"/>
                    <w:tr2bl w:val="nil"/>
                  </w:tcBorders>
                  <w:noWrap w:val="0"/>
                  <w:vAlign w:val="center"/>
                </w:tcPr>
                <w:p w14:paraId="6C51F193">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建筑面积约125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lang w:val="en-US" w:eastAsia="zh-CN"/>
                    </w:rPr>
                    <w:t>，位于29号B栋厂房1楼车间西北侧</w:t>
                  </w:r>
                </w:p>
              </w:tc>
              <w:tc>
                <w:tcPr>
                  <w:tcW w:w="498" w:type="pct"/>
                  <w:tcBorders>
                    <w:tl2br w:val="nil"/>
                    <w:tr2bl w:val="nil"/>
                  </w:tcBorders>
                  <w:noWrap w:val="0"/>
                  <w:vAlign w:val="center"/>
                </w:tcPr>
                <w:p w14:paraId="3B0BA3A1">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10CDF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restart"/>
                  <w:tcBorders>
                    <w:tl2br w:val="nil"/>
                    <w:tr2bl w:val="nil"/>
                  </w:tcBorders>
                  <w:noWrap w:val="0"/>
                  <w:vAlign w:val="center"/>
                </w:tcPr>
                <w:p w14:paraId="35CDFACF">
                  <w:pPr>
                    <w:tabs>
                      <w:tab w:val="left" w:pos="1980"/>
                      <w:tab w:val="left" w:pos="3825"/>
                      <w:tab w:val="left" w:pos="4680"/>
                    </w:tabs>
                    <w:adjustRightInd w:val="0"/>
                    <w:snapToGrid w:val="0"/>
                    <w:spacing w:line="32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储运工程</w:t>
                  </w:r>
                </w:p>
              </w:tc>
              <w:tc>
                <w:tcPr>
                  <w:tcW w:w="1005" w:type="pct"/>
                  <w:tcBorders>
                    <w:tl2br w:val="nil"/>
                    <w:tr2bl w:val="nil"/>
                  </w:tcBorders>
                  <w:noWrap w:val="0"/>
                  <w:vAlign w:val="center"/>
                </w:tcPr>
                <w:p w14:paraId="3D157A70">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原料仓</w:t>
                  </w:r>
                </w:p>
              </w:tc>
              <w:tc>
                <w:tcPr>
                  <w:tcW w:w="3109" w:type="pct"/>
                  <w:tcBorders>
                    <w:tl2br w:val="nil"/>
                    <w:tr2bl w:val="nil"/>
                  </w:tcBorders>
                  <w:noWrap w:val="0"/>
                  <w:vAlign w:val="center"/>
                </w:tcPr>
                <w:p w14:paraId="5B0069E7">
                  <w:pPr>
                    <w:tabs>
                      <w:tab w:val="left" w:pos="1980"/>
                      <w:tab w:val="left" w:pos="3825"/>
                      <w:tab w:val="left" w:pos="4680"/>
                    </w:tabs>
                    <w:adjustRightInd w:val="0"/>
                    <w:snapToGrid w:val="0"/>
                    <w:spacing w:line="320" w:lineRule="exact"/>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建筑面积约436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lang w:val="en-US" w:eastAsia="zh-CN"/>
                    </w:rPr>
                    <w:t>，位于29号B栋厂房1楼车间西南侧</w:t>
                  </w:r>
                </w:p>
              </w:tc>
              <w:tc>
                <w:tcPr>
                  <w:tcW w:w="498" w:type="pct"/>
                  <w:tcBorders>
                    <w:tl2br w:val="nil"/>
                    <w:tr2bl w:val="nil"/>
                  </w:tcBorders>
                  <w:noWrap w:val="0"/>
                  <w:vAlign w:val="center"/>
                </w:tcPr>
                <w:p w14:paraId="64C1637D">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26461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86" w:type="pct"/>
                  <w:vMerge w:val="continue"/>
                  <w:tcBorders>
                    <w:tl2br w:val="nil"/>
                    <w:tr2bl w:val="nil"/>
                  </w:tcBorders>
                  <w:noWrap w:val="0"/>
                  <w:vAlign w:val="center"/>
                </w:tcPr>
                <w:p w14:paraId="4DF586EF">
                  <w:pPr>
                    <w:tabs>
                      <w:tab w:val="left" w:pos="1980"/>
                      <w:tab w:val="left" w:pos="3825"/>
                      <w:tab w:val="left" w:pos="4680"/>
                    </w:tabs>
                    <w:adjustRightInd w:val="0"/>
                    <w:snapToGrid w:val="0"/>
                    <w:spacing w:line="320" w:lineRule="exact"/>
                    <w:jc w:val="center"/>
                    <w:rPr>
                      <w:rFonts w:hint="default" w:ascii="Times New Roman" w:hAnsi="Times New Roman" w:cs="Times New Roman"/>
                      <w:color w:val="auto"/>
                      <w:sz w:val="21"/>
                      <w:szCs w:val="21"/>
                      <w:highlight w:val="none"/>
                    </w:rPr>
                  </w:pPr>
                </w:p>
              </w:tc>
              <w:tc>
                <w:tcPr>
                  <w:tcW w:w="1005" w:type="pct"/>
                  <w:tcBorders>
                    <w:tl2br w:val="nil"/>
                    <w:tr2bl w:val="nil"/>
                  </w:tcBorders>
                  <w:noWrap w:val="0"/>
                  <w:vAlign w:val="center"/>
                </w:tcPr>
                <w:p w14:paraId="5974E500">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专用化学品仓库</w:t>
                  </w:r>
                </w:p>
              </w:tc>
              <w:tc>
                <w:tcPr>
                  <w:tcW w:w="3109" w:type="pct"/>
                  <w:tcBorders>
                    <w:tl2br w:val="nil"/>
                    <w:tr2bl w:val="nil"/>
                  </w:tcBorders>
                  <w:noWrap w:val="0"/>
                  <w:vAlign w:val="center"/>
                </w:tcPr>
                <w:p w14:paraId="6AA1ACC1">
                  <w:pPr>
                    <w:tabs>
                      <w:tab w:val="left" w:pos="1980"/>
                      <w:tab w:val="left" w:pos="3825"/>
                      <w:tab w:val="left" w:pos="4680"/>
                    </w:tabs>
                    <w:adjustRightInd w:val="0"/>
                    <w:snapToGrid w:val="0"/>
                    <w:spacing w:line="320" w:lineRule="exact"/>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建筑面积15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lang w:val="en-US" w:eastAsia="zh-CN"/>
                    </w:rPr>
                    <w:t>，位于29号B栋厂房1楼车间东北侧</w:t>
                  </w:r>
                </w:p>
              </w:tc>
              <w:tc>
                <w:tcPr>
                  <w:tcW w:w="498" w:type="pct"/>
                  <w:tcBorders>
                    <w:tl2br w:val="nil"/>
                    <w:tr2bl w:val="nil"/>
                  </w:tcBorders>
                  <w:noWrap w:val="0"/>
                  <w:vAlign w:val="center"/>
                </w:tcPr>
                <w:p w14:paraId="729194E9">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49E7A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restart"/>
                  <w:tcBorders>
                    <w:tl2br w:val="nil"/>
                    <w:tr2bl w:val="nil"/>
                  </w:tcBorders>
                  <w:noWrap w:val="0"/>
                  <w:vAlign w:val="center"/>
                </w:tcPr>
                <w:p w14:paraId="7CD5D564">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公用工程</w:t>
                  </w:r>
                </w:p>
              </w:tc>
              <w:tc>
                <w:tcPr>
                  <w:tcW w:w="1005" w:type="pct"/>
                  <w:tcBorders>
                    <w:tl2br w:val="nil"/>
                    <w:tr2bl w:val="nil"/>
                  </w:tcBorders>
                  <w:noWrap w:val="0"/>
                  <w:vAlign w:val="center"/>
                </w:tcPr>
                <w:p w14:paraId="2162C317">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供电工程</w:t>
                  </w:r>
                </w:p>
              </w:tc>
              <w:tc>
                <w:tcPr>
                  <w:tcW w:w="3109" w:type="pct"/>
                  <w:tcBorders>
                    <w:tl2br w:val="nil"/>
                    <w:tr2bl w:val="nil"/>
                  </w:tcBorders>
                  <w:noWrap w:val="0"/>
                  <w:vAlign w:val="center"/>
                </w:tcPr>
                <w:p w14:paraId="733A217E">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snapToGrid w:val="0"/>
                      <w:color w:val="auto"/>
                      <w:kern w:val="0"/>
                      <w:sz w:val="21"/>
                      <w:szCs w:val="21"/>
                      <w:highlight w:val="none"/>
                      <w:lang w:val="en-US" w:eastAsia="zh-CN"/>
                    </w:rPr>
                    <w:t>由</w:t>
                  </w:r>
                  <w:r>
                    <w:rPr>
                      <w:rFonts w:hint="default" w:ascii="Times New Roman" w:hAnsi="Times New Roman" w:cs="Times New Roman"/>
                      <w:snapToGrid w:val="0"/>
                      <w:color w:val="auto"/>
                      <w:kern w:val="0"/>
                      <w:sz w:val="21"/>
                      <w:szCs w:val="21"/>
                      <w:highlight w:val="none"/>
                    </w:rPr>
                    <w:t>市政供电</w:t>
                  </w:r>
                  <w:r>
                    <w:rPr>
                      <w:rFonts w:hint="default" w:ascii="Times New Roman" w:hAnsi="Times New Roman" w:cs="Times New Roman"/>
                      <w:snapToGrid w:val="0"/>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lang w:val="en-US" w:eastAsia="zh-CN"/>
                    </w:rPr>
                    <w:t>向各用电处供电</w:t>
                  </w:r>
                </w:p>
              </w:tc>
              <w:tc>
                <w:tcPr>
                  <w:tcW w:w="498" w:type="pct"/>
                  <w:vMerge w:val="restart"/>
                  <w:tcBorders>
                    <w:tl2br w:val="nil"/>
                    <w:tr2bl w:val="nil"/>
                  </w:tcBorders>
                  <w:noWrap w:val="0"/>
                  <w:vAlign w:val="center"/>
                </w:tcPr>
                <w:p w14:paraId="469D4D87">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w:t>
                  </w:r>
                </w:p>
              </w:tc>
            </w:tr>
            <w:tr w14:paraId="37831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86" w:type="pct"/>
                  <w:vMerge w:val="continue"/>
                  <w:tcBorders>
                    <w:tl2br w:val="nil"/>
                    <w:tr2bl w:val="nil"/>
                  </w:tcBorders>
                  <w:noWrap w:val="0"/>
                  <w:vAlign w:val="center"/>
                </w:tcPr>
                <w:p w14:paraId="305A2D52">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c>
                <w:tcPr>
                  <w:tcW w:w="1005" w:type="pct"/>
                  <w:tcBorders>
                    <w:tl2br w:val="nil"/>
                    <w:tr2bl w:val="nil"/>
                  </w:tcBorders>
                  <w:noWrap w:val="0"/>
                  <w:vAlign w:val="center"/>
                </w:tcPr>
                <w:p w14:paraId="29506132">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给水工程</w:t>
                  </w:r>
                </w:p>
              </w:tc>
              <w:tc>
                <w:tcPr>
                  <w:tcW w:w="3109" w:type="pct"/>
                  <w:tcBorders>
                    <w:tl2br w:val="nil"/>
                    <w:tr2bl w:val="nil"/>
                  </w:tcBorders>
                  <w:noWrap w:val="0"/>
                  <w:vAlign w:val="center"/>
                </w:tcPr>
                <w:p w14:paraId="2A164C61">
                  <w:pPr>
                    <w:tabs>
                      <w:tab w:val="left" w:pos="1980"/>
                      <w:tab w:val="left" w:pos="3825"/>
                      <w:tab w:val="left" w:pos="4680"/>
                    </w:tabs>
                    <w:adjustRightInd w:val="0"/>
                    <w:snapToGrid w:val="0"/>
                    <w:spacing w:line="32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rPr>
                    <w:t>市政供水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向各用水处供水</w:t>
                  </w:r>
                </w:p>
              </w:tc>
              <w:tc>
                <w:tcPr>
                  <w:tcW w:w="498" w:type="pct"/>
                  <w:vMerge w:val="continue"/>
                  <w:tcBorders>
                    <w:tl2br w:val="nil"/>
                    <w:tr2bl w:val="nil"/>
                  </w:tcBorders>
                  <w:noWrap w:val="0"/>
                  <w:vAlign w:val="center"/>
                </w:tcPr>
                <w:p w14:paraId="701A76D2">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r>
            <w:tr w14:paraId="10945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tcBorders>
                    <w:tl2br w:val="nil"/>
                    <w:tr2bl w:val="nil"/>
                  </w:tcBorders>
                  <w:noWrap w:val="0"/>
                  <w:vAlign w:val="center"/>
                </w:tcPr>
                <w:p w14:paraId="32CA9848">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c>
                <w:tcPr>
                  <w:tcW w:w="1005" w:type="pct"/>
                  <w:tcBorders>
                    <w:tl2br w:val="nil"/>
                    <w:tr2bl w:val="nil"/>
                  </w:tcBorders>
                  <w:noWrap w:val="0"/>
                  <w:vAlign w:val="center"/>
                </w:tcPr>
                <w:p w14:paraId="55D10B5B">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排水工程</w:t>
                  </w:r>
                </w:p>
              </w:tc>
              <w:tc>
                <w:tcPr>
                  <w:tcW w:w="3109" w:type="pct"/>
                  <w:tcBorders>
                    <w:tl2br w:val="nil"/>
                    <w:tr2bl w:val="nil"/>
                  </w:tcBorders>
                  <w:noWrap w:val="0"/>
                  <w:vAlign w:val="center"/>
                </w:tcPr>
                <w:p w14:paraId="2F3CD44F">
                  <w:pPr>
                    <w:tabs>
                      <w:tab w:val="left" w:pos="1980"/>
                      <w:tab w:val="left" w:pos="3825"/>
                      <w:tab w:val="left" w:pos="4680"/>
                    </w:tabs>
                    <w:adjustRightInd w:val="0"/>
                    <w:snapToGrid w:val="0"/>
                    <w:spacing w:line="340" w:lineRule="exact"/>
                    <w:jc w:val="left"/>
                    <w:rPr>
                      <w:rFonts w:hint="eastAsia" w:ascii="Times New Roman" w:hAnsi="Times New Roman" w:eastAsia="宋体" w:cs="Times New Roman"/>
                      <w:snapToGrid w:val="0"/>
                      <w:color w:val="auto"/>
                      <w:kern w:val="0"/>
                      <w:sz w:val="21"/>
                      <w:szCs w:val="21"/>
                      <w:highlight w:val="none"/>
                      <w:lang w:eastAsia="zh-CN"/>
                    </w:rPr>
                  </w:pPr>
                  <w:r>
                    <w:rPr>
                      <w:rFonts w:hint="default" w:ascii="Times New Roman" w:hAnsi="Times New Roman" w:cs="Times New Roman"/>
                      <w:snapToGrid w:val="0"/>
                      <w:color w:val="auto"/>
                      <w:kern w:val="0"/>
                      <w:sz w:val="21"/>
                      <w:szCs w:val="21"/>
                      <w:highlight w:val="none"/>
                    </w:rPr>
                    <w:t>采用雨污分流的排水体制，分设雨水管道及污水管道</w:t>
                  </w:r>
                  <w:r>
                    <w:rPr>
                      <w:rFonts w:hint="eastAsia" w:ascii="Times New Roman" w:hAnsi="Times New Roman" w:eastAsia="宋体" w:cs="Times New Roman"/>
                      <w:snapToGrid w:val="0"/>
                      <w:color w:val="auto"/>
                      <w:kern w:val="0"/>
                      <w:sz w:val="21"/>
                      <w:szCs w:val="21"/>
                      <w:highlight w:val="none"/>
                      <w:lang w:eastAsia="zh-CN"/>
                    </w:rPr>
                    <w:t>。</w:t>
                  </w:r>
                </w:p>
              </w:tc>
              <w:tc>
                <w:tcPr>
                  <w:tcW w:w="498" w:type="pct"/>
                  <w:vMerge w:val="continue"/>
                  <w:tcBorders>
                    <w:tl2br w:val="nil"/>
                    <w:tr2bl w:val="nil"/>
                  </w:tcBorders>
                  <w:noWrap w:val="0"/>
                  <w:vAlign w:val="center"/>
                </w:tcPr>
                <w:p w14:paraId="0BF7B77E">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r>
            <w:tr w14:paraId="684A8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386" w:type="pct"/>
                  <w:vMerge w:val="restart"/>
                  <w:tcBorders>
                    <w:tl2br w:val="nil"/>
                    <w:tr2bl w:val="nil"/>
                  </w:tcBorders>
                  <w:noWrap w:val="0"/>
                  <w:vAlign w:val="center"/>
                </w:tcPr>
                <w:p w14:paraId="1CE75E76">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环保工程</w:t>
                  </w:r>
                </w:p>
              </w:tc>
              <w:tc>
                <w:tcPr>
                  <w:tcW w:w="1005" w:type="pct"/>
                  <w:tcBorders>
                    <w:tl2br w:val="nil"/>
                    <w:tr2bl w:val="nil"/>
                  </w:tcBorders>
                  <w:noWrap w:val="0"/>
                  <w:vAlign w:val="center"/>
                </w:tcPr>
                <w:p w14:paraId="2AF4870F">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废水处理</w:t>
                  </w:r>
                </w:p>
              </w:tc>
              <w:tc>
                <w:tcPr>
                  <w:tcW w:w="3109" w:type="pct"/>
                  <w:tcBorders>
                    <w:tl2br w:val="nil"/>
                    <w:tr2bl w:val="nil"/>
                  </w:tcBorders>
                  <w:noWrap w:val="0"/>
                  <w:vAlign w:val="center"/>
                </w:tcPr>
                <w:p w14:paraId="2C105877">
                  <w:pPr>
                    <w:pStyle w:val="16"/>
                    <w:spacing w:after="0" w:line="340" w:lineRule="exact"/>
                    <w:ind w:left="0" w:leftChars="0" w:firstLine="0"/>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经化粪池处理后通过市政污水管网纳入永春县蓬壶镇污水处理厂处理</w:t>
                  </w:r>
                  <w:r>
                    <w:rPr>
                      <w:rFonts w:hint="eastAsia" w:ascii="Times New Roman" w:hAnsi="Times New Roman" w:eastAsia="宋体" w:cs="Times New Roman"/>
                      <w:color w:val="auto"/>
                      <w:sz w:val="21"/>
                      <w:szCs w:val="21"/>
                      <w:highlight w:val="none"/>
                      <w:lang w:eastAsia="zh-CN"/>
                    </w:rPr>
                    <w:t>。</w:t>
                  </w:r>
                </w:p>
              </w:tc>
              <w:tc>
                <w:tcPr>
                  <w:tcW w:w="498" w:type="pct"/>
                  <w:tcBorders>
                    <w:tl2br w:val="nil"/>
                    <w:tr2bl w:val="nil"/>
                  </w:tcBorders>
                  <w:noWrap w:val="0"/>
                  <w:vAlign w:val="center"/>
                </w:tcPr>
                <w:p w14:paraId="124A9369">
                  <w:pPr>
                    <w:spacing w:line="32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依托出租方</w:t>
                  </w:r>
                </w:p>
              </w:tc>
            </w:tr>
            <w:tr w14:paraId="42BA6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vMerge w:val="continue"/>
                  <w:tcBorders>
                    <w:tl2br w:val="nil"/>
                    <w:tr2bl w:val="nil"/>
                  </w:tcBorders>
                  <w:noWrap w:val="0"/>
                  <w:vAlign w:val="center"/>
                </w:tcPr>
                <w:p w14:paraId="262E1D6C">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c>
                <w:tcPr>
                  <w:tcW w:w="1005" w:type="pct"/>
                  <w:tcBorders>
                    <w:tl2br w:val="nil"/>
                    <w:tr2bl w:val="nil"/>
                  </w:tcBorders>
                  <w:noWrap w:val="0"/>
                  <w:vAlign w:val="center"/>
                </w:tcPr>
                <w:p w14:paraId="6A967DAC">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废气处理</w:t>
                  </w:r>
                </w:p>
              </w:tc>
              <w:tc>
                <w:tcPr>
                  <w:tcW w:w="3109" w:type="pct"/>
                  <w:tcBorders>
                    <w:tl2br w:val="nil"/>
                    <w:tr2bl w:val="nil"/>
                  </w:tcBorders>
                  <w:noWrap w:val="0"/>
                  <w:vAlign w:val="center"/>
                </w:tcPr>
                <w:p w14:paraId="2543022E">
                  <w:pPr>
                    <w:pStyle w:val="5"/>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highlight w:val="none"/>
                    </w:rPr>
                    <w:t>风机风量10000m³/h</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经集气罩收集后由二级活性炭吸附装置处理，最后通过</w:t>
                  </w:r>
                  <w:r>
                    <w:rPr>
                      <w:rFonts w:hint="eastAsia" w:ascii="Times New Roman" w:hAnsi="Times New Roman" w:eastAsia="宋体" w:cs="Times New Roman"/>
                      <w:highlight w:val="none"/>
                      <w:lang w:eastAsia="zh-CN"/>
                    </w:rPr>
                    <w:t>15m</w:t>
                  </w:r>
                  <w:r>
                    <w:rPr>
                      <w:rFonts w:hint="eastAsia" w:ascii="Times New Roman" w:hAnsi="Times New Roman" w:eastAsia="宋体" w:cs="Times New Roman"/>
                      <w:highlight w:val="none"/>
                      <w:lang w:val="en-US" w:eastAsia="zh-CN"/>
                    </w:rPr>
                    <w:t>排气筒（</w:t>
                  </w:r>
                  <w:r>
                    <w:rPr>
                      <w:rFonts w:hint="eastAsia" w:ascii="Times New Roman" w:hAnsi="Times New Roman" w:eastAsia="宋体" w:cs="Times New Roman"/>
                      <w:highlight w:val="none"/>
                      <w:lang w:eastAsia="zh-CN"/>
                    </w:rPr>
                    <w:t>DA001</w:t>
                  </w:r>
                  <w:r>
                    <w:rPr>
                      <w:rFonts w:hint="eastAsia" w:ascii="Times New Roman" w:hAnsi="Times New Roman" w:eastAsia="宋体" w:cs="Times New Roman"/>
                      <w:highlight w:val="none"/>
                      <w:lang w:val="en-US" w:eastAsia="zh-CN"/>
                    </w:rPr>
                    <w:t>）排放</w:t>
                  </w:r>
                  <w:r>
                    <w:rPr>
                      <w:rFonts w:hint="eastAsia" w:ascii="Times New Roman" w:hAnsi="Times New Roman" w:eastAsia="宋体" w:cs="Times New Roman"/>
                      <w:highlight w:val="none"/>
                      <w:lang w:eastAsia="zh-CN"/>
                    </w:rPr>
                    <w:t>。</w:t>
                  </w:r>
                </w:p>
              </w:tc>
              <w:tc>
                <w:tcPr>
                  <w:tcW w:w="498" w:type="pct"/>
                  <w:tcBorders>
                    <w:tl2br w:val="nil"/>
                    <w:tr2bl w:val="nil"/>
                  </w:tcBorders>
                  <w:noWrap w:val="0"/>
                  <w:vAlign w:val="center"/>
                </w:tcPr>
                <w:p w14:paraId="72E50792">
                  <w:pPr>
                    <w:pStyle w:val="26"/>
                    <w:spacing w:line="32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新建</w:t>
                  </w:r>
                </w:p>
              </w:tc>
            </w:tr>
            <w:tr w14:paraId="7386D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vMerge w:val="continue"/>
                  <w:tcBorders>
                    <w:tl2br w:val="nil"/>
                    <w:tr2bl w:val="nil"/>
                  </w:tcBorders>
                  <w:noWrap w:val="0"/>
                  <w:vAlign w:val="center"/>
                </w:tcPr>
                <w:p w14:paraId="391E3B4D">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c>
                <w:tcPr>
                  <w:tcW w:w="1005" w:type="pct"/>
                  <w:tcBorders>
                    <w:tl2br w:val="nil"/>
                    <w:tr2bl w:val="nil"/>
                  </w:tcBorders>
                  <w:noWrap w:val="0"/>
                  <w:vAlign w:val="center"/>
                </w:tcPr>
                <w:p w14:paraId="36C01776">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噪声治理</w:t>
                  </w:r>
                </w:p>
              </w:tc>
              <w:tc>
                <w:tcPr>
                  <w:tcW w:w="3109" w:type="pct"/>
                  <w:tcBorders>
                    <w:tl2br w:val="nil"/>
                    <w:tr2bl w:val="nil"/>
                  </w:tcBorders>
                  <w:noWrap w:val="0"/>
                  <w:vAlign w:val="center"/>
                </w:tcPr>
                <w:p w14:paraId="451D5AC8">
                  <w:pPr>
                    <w:tabs>
                      <w:tab w:val="left" w:pos="1980"/>
                      <w:tab w:val="left" w:pos="3825"/>
                      <w:tab w:val="left" w:pos="4680"/>
                    </w:tabs>
                    <w:adjustRightInd w:val="0"/>
                    <w:snapToGrid w:val="0"/>
                    <w:spacing w:line="340" w:lineRule="exact"/>
                    <w:jc w:val="left"/>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color w:val="auto"/>
                      <w:sz w:val="21"/>
                      <w:szCs w:val="21"/>
                      <w:highlight w:val="none"/>
                    </w:rPr>
                    <w:t>选用低噪声设备，加强设备的维护管理，对高噪声设备采取</w:t>
                  </w:r>
                  <w:r>
                    <w:rPr>
                      <w:rFonts w:hint="eastAsia" w:ascii="Times New Roman" w:hAnsi="Times New Roman" w:eastAsia="宋体" w:cs="Times New Roman"/>
                      <w:color w:val="auto"/>
                      <w:sz w:val="21"/>
                      <w:szCs w:val="21"/>
                      <w:highlight w:val="none"/>
                      <w:lang w:eastAsia="zh-CN"/>
                    </w:rPr>
                    <w:t>减振</w:t>
                  </w:r>
                  <w:r>
                    <w:rPr>
                      <w:rFonts w:hint="default" w:ascii="Times New Roman" w:hAnsi="Times New Roman" w:cs="Times New Roman"/>
                      <w:color w:val="auto"/>
                      <w:sz w:val="21"/>
                      <w:szCs w:val="21"/>
                      <w:highlight w:val="none"/>
                    </w:rPr>
                    <w:t>、隔声等降噪措施。</w:t>
                  </w:r>
                </w:p>
              </w:tc>
              <w:tc>
                <w:tcPr>
                  <w:tcW w:w="498" w:type="pct"/>
                  <w:tcBorders>
                    <w:tl2br w:val="nil"/>
                    <w:tr2bl w:val="nil"/>
                  </w:tcBorders>
                  <w:noWrap w:val="0"/>
                  <w:vAlign w:val="center"/>
                </w:tcPr>
                <w:p w14:paraId="4502BA5C">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新建</w:t>
                  </w:r>
                </w:p>
              </w:tc>
            </w:tr>
            <w:tr w14:paraId="04AED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6" w:type="pct"/>
                  <w:vMerge w:val="continue"/>
                  <w:tcBorders>
                    <w:tl2br w:val="nil"/>
                    <w:tr2bl w:val="nil"/>
                  </w:tcBorders>
                  <w:noWrap w:val="0"/>
                  <w:vAlign w:val="center"/>
                </w:tcPr>
                <w:p w14:paraId="6F20622D">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p>
              </w:tc>
              <w:tc>
                <w:tcPr>
                  <w:tcW w:w="1005" w:type="pct"/>
                  <w:tcBorders>
                    <w:tl2br w:val="nil"/>
                    <w:tr2bl w:val="nil"/>
                  </w:tcBorders>
                  <w:noWrap w:val="0"/>
                  <w:vAlign w:val="center"/>
                </w:tcPr>
                <w:p w14:paraId="5F8E7485">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固废处置</w:t>
                  </w:r>
                </w:p>
              </w:tc>
              <w:tc>
                <w:tcPr>
                  <w:tcW w:w="3109" w:type="pct"/>
                  <w:tcBorders>
                    <w:tl2br w:val="nil"/>
                    <w:tr2bl w:val="nil"/>
                  </w:tcBorders>
                  <w:noWrap w:val="0"/>
                  <w:vAlign w:val="center"/>
                </w:tcPr>
                <w:p w14:paraId="28B84E92">
                  <w:pPr>
                    <w:pStyle w:val="7"/>
                    <w:spacing w:line="34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一般固废暂存间：</w:t>
                  </w:r>
                  <w:r>
                    <w:rPr>
                      <w:rFonts w:hint="eastAsia" w:cs="Times New Roman"/>
                      <w:color w:val="auto"/>
                      <w:sz w:val="21"/>
                      <w:szCs w:val="21"/>
                      <w:highlight w:val="none"/>
                      <w:lang w:val="en-US" w:eastAsia="zh-CN"/>
                    </w:rPr>
                    <w:t>位于</w:t>
                  </w:r>
                  <w:r>
                    <w:rPr>
                      <w:rFonts w:hint="eastAsia" w:ascii="Times New Roman" w:hAnsi="Times New Roman" w:eastAsia="宋体" w:cs="Times New Roman"/>
                      <w:color w:val="auto"/>
                      <w:sz w:val="21"/>
                      <w:szCs w:val="21"/>
                      <w:highlight w:val="none"/>
                      <w:lang w:val="en-US" w:eastAsia="zh-CN"/>
                    </w:rPr>
                    <w:t>29号B栋厂房</w:t>
                  </w:r>
                  <w:r>
                    <w:rPr>
                      <w:rFonts w:hint="eastAsia" w:cs="Times New Roman"/>
                      <w:color w:val="auto"/>
                      <w:sz w:val="21"/>
                      <w:szCs w:val="21"/>
                      <w:highlight w:val="none"/>
                      <w:lang w:val="en-US" w:eastAsia="zh-CN"/>
                    </w:rPr>
                    <w:t>1楼东侧7.5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p w14:paraId="46A6325F">
                  <w:pPr>
                    <w:pStyle w:val="7"/>
                    <w:spacing w:line="34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危废暂存间：</w:t>
                  </w:r>
                  <w:r>
                    <w:rPr>
                      <w:rFonts w:hint="eastAsia" w:cs="Times New Roman"/>
                      <w:color w:val="auto"/>
                      <w:sz w:val="21"/>
                      <w:szCs w:val="21"/>
                      <w:highlight w:val="none"/>
                      <w:lang w:val="en-US" w:eastAsia="zh-CN"/>
                    </w:rPr>
                    <w:t>位于</w:t>
                  </w:r>
                  <w:r>
                    <w:rPr>
                      <w:rFonts w:hint="eastAsia" w:ascii="Times New Roman" w:hAnsi="Times New Roman" w:eastAsia="宋体" w:cs="Times New Roman"/>
                      <w:color w:val="auto"/>
                      <w:sz w:val="21"/>
                      <w:szCs w:val="21"/>
                      <w:highlight w:val="none"/>
                      <w:lang w:val="en-US" w:eastAsia="zh-CN"/>
                    </w:rPr>
                    <w:t>29号B栋厂房</w:t>
                  </w:r>
                  <w:r>
                    <w:rPr>
                      <w:rFonts w:hint="eastAsia" w:cs="Times New Roman"/>
                      <w:color w:val="auto"/>
                      <w:sz w:val="21"/>
                      <w:szCs w:val="21"/>
                      <w:highlight w:val="none"/>
                      <w:lang w:val="en-US" w:eastAsia="zh-CN"/>
                    </w:rPr>
                    <w:t>1楼东侧7.5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p w14:paraId="7D2C2599">
                  <w:pPr>
                    <w:pStyle w:val="7"/>
                    <w:spacing w:line="340" w:lineRule="exact"/>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生活垃圾：</w:t>
                  </w:r>
                  <w:r>
                    <w:rPr>
                      <w:rFonts w:hint="default" w:ascii="Times New Roman" w:hAnsi="Times New Roman" w:cs="Times New Roman"/>
                      <w:color w:val="auto"/>
                      <w:sz w:val="21"/>
                      <w:szCs w:val="21"/>
                      <w:highlight w:val="none"/>
                    </w:rPr>
                    <w:t>垃圾桶</w:t>
                  </w:r>
                </w:p>
              </w:tc>
              <w:tc>
                <w:tcPr>
                  <w:tcW w:w="498" w:type="pct"/>
                  <w:tcBorders>
                    <w:tl2br w:val="nil"/>
                    <w:tr2bl w:val="nil"/>
                  </w:tcBorders>
                  <w:noWrap w:val="0"/>
                  <w:vAlign w:val="center"/>
                </w:tcPr>
                <w:p w14:paraId="7B0EF11F">
                  <w:pPr>
                    <w:tabs>
                      <w:tab w:val="left" w:pos="1980"/>
                      <w:tab w:val="left" w:pos="3825"/>
                      <w:tab w:val="left" w:pos="4680"/>
                    </w:tabs>
                    <w:adjustRightInd w:val="0"/>
                    <w:snapToGrid w:val="0"/>
                    <w:spacing w:line="320" w:lineRule="exact"/>
                    <w:jc w:val="center"/>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新建</w:t>
                  </w:r>
                </w:p>
              </w:tc>
            </w:tr>
          </w:tbl>
          <w:p w14:paraId="6C3E6B8A">
            <w:pPr>
              <w:pStyle w:val="25"/>
              <w:spacing w:line="360" w:lineRule="auto"/>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2.5 项目主要生产设备、</w:t>
            </w:r>
            <w:r>
              <w:rPr>
                <w:rFonts w:hint="default" w:ascii="Times New Roman" w:hAnsi="Times New Roman" w:cs="Times New Roman"/>
                <w:b/>
                <w:bCs/>
                <w:color w:val="auto"/>
                <w:sz w:val="28"/>
                <w:szCs w:val="28"/>
                <w:highlight w:val="none"/>
              </w:rPr>
              <w:t>原辅材料、能耗及产品方案</w:t>
            </w:r>
          </w:p>
          <w:p w14:paraId="7291D30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2.5.1 主要生产设备</w:t>
            </w:r>
          </w:p>
          <w:p w14:paraId="16363C3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本项目主要生产设备见下表2</w:t>
            </w:r>
            <w:r>
              <w:rPr>
                <w:rFonts w:hint="eastAsia" w:ascii="Times New Roman" w:hAnsi="Times New Roman" w:eastAsia="宋体" w:cs="Times New Roman"/>
                <w:b w:val="0"/>
                <w:bCs w:val="0"/>
                <w:color w:val="000000"/>
                <w:kern w:val="0"/>
                <w:sz w:val="24"/>
                <w:szCs w:val="24"/>
                <w:highlight w:val="none"/>
                <w:lang w:val="en-US" w:eastAsia="zh-CN" w:bidi="ar"/>
              </w:rPr>
              <w:t>.5-1</w:t>
            </w:r>
            <w:r>
              <w:rPr>
                <w:rFonts w:hint="default" w:ascii="Times New Roman" w:hAnsi="Times New Roman" w:eastAsia="宋体" w:cs="Times New Roman"/>
                <w:b w:val="0"/>
                <w:bCs w:val="0"/>
                <w:color w:val="000000"/>
                <w:kern w:val="0"/>
                <w:sz w:val="24"/>
                <w:szCs w:val="24"/>
                <w:highlight w:val="none"/>
                <w:lang w:val="en-US" w:eastAsia="zh-CN" w:bidi="ar"/>
              </w:rPr>
              <w:t>。</w:t>
            </w:r>
          </w:p>
          <w:p w14:paraId="62F84F8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.5-1</w:t>
            </w:r>
            <w:r>
              <w:rPr>
                <w:rFonts w:hint="default" w:ascii="Times New Roman" w:hAnsi="Times New Roman" w:cs="Times New Roman"/>
                <w:b/>
                <w:color w:val="auto"/>
                <w:sz w:val="24"/>
                <w:highlight w:val="none"/>
              </w:rPr>
              <w:t xml:space="preserve"> 项目主要生产设备</w:t>
            </w:r>
          </w:p>
          <w:tbl>
            <w:tblPr>
              <w:tblStyle w:val="17"/>
              <w:tblW w:w="8340"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47"/>
              <w:gridCol w:w="1548"/>
              <w:gridCol w:w="978"/>
              <w:gridCol w:w="2141"/>
              <w:gridCol w:w="1654"/>
              <w:gridCol w:w="972"/>
            </w:tblGrid>
            <w:tr w14:paraId="2EE4A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8" w:hRule="atLeast"/>
              </w:trPr>
              <w:tc>
                <w:tcPr>
                  <w:tcW w:w="5000" w:type="pct"/>
                  <w:gridSpan w:val="6"/>
                  <w:tcBorders>
                    <w:tl2br w:val="nil"/>
                    <w:tr2bl w:val="nil"/>
                  </w:tcBorders>
                  <w:shd w:val="clear" w:color="auto" w:fill="auto"/>
                  <w:noWrap/>
                  <w:vAlign w:val="center"/>
                </w:tcPr>
                <w:p w14:paraId="2E3E69D4">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设备布置情况</w:t>
                  </w:r>
                </w:p>
              </w:tc>
            </w:tr>
            <w:tr w14:paraId="5F5B3A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627" w:type="pct"/>
                  <w:tcBorders>
                    <w:tl2br w:val="nil"/>
                    <w:tr2bl w:val="nil"/>
                  </w:tcBorders>
                  <w:shd w:val="clear" w:color="auto" w:fill="auto"/>
                  <w:noWrap/>
                  <w:vAlign w:val="center"/>
                </w:tcPr>
                <w:p w14:paraId="72AE0FE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区域</w:t>
                  </w:r>
                </w:p>
              </w:tc>
              <w:tc>
                <w:tcPr>
                  <w:tcW w:w="928" w:type="pct"/>
                  <w:tcBorders>
                    <w:tl2br w:val="nil"/>
                    <w:tr2bl w:val="nil"/>
                  </w:tcBorders>
                  <w:shd w:val="clear" w:color="auto" w:fill="auto"/>
                  <w:noWrap/>
                  <w:vAlign w:val="center"/>
                </w:tcPr>
                <w:p w14:paraId="223C033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设备名称</w:t>
                  </w:r>
                </w:p>
              </w:tc>
              <w:tc>
                <w:tcPr>
                  <w:tcW w:w="586" w:type="pct"/>
                  <w:tcBorders>
                    <w:tl2br w:val="nil"/>
                    <w:tr2bl w:val="nil"/>
                  </w:tcBorders>
                  <w:shd w:val="clear" w:color="auto" w:fill="auto"/>
                  <w:noWrap/>
                  <w:vAlign w:val="center"/>
                </w:tcPr>
                <w:p w14:paraId="0039567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数量/台</w:t>
                  </w:r>
                </w:p>
              </w:tc>
              <w:tc>
                <w:tcPr>
                  <w:tcW w:w="1283" w:type="pct"/>
                  <w:tcBorders>
                    <w:tl2br w:val="nil"/>
                    <w:tr2bl w:val="nil"/>
                  </w:tcBorders>
                  <w:shd w:val="clear" w:color="auto" w:fill="auto"/>
                  <w:noWrap/>
                  <w:vAlign w:val="center"/>
                </w:tcPr>
                <w:p w14:paraId="72E60AD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型号</w:t>
                  </w:r>
                </w:p>
              </w:tc>
              <w:tc>
                <w:tcPr>
                  <w:tcW w:w="991" w:type="pct"/>
                  <w:tcBorders>
                    <w:tl2br w:val="nil"/>
                    <w:tr2bl w:val="nil"/>
                  </w:tcBorders>
                  <w:shd w:val="clear" w:color="auto" w:fill="auto"/>
                  <w:noWrap/>
                  <w:vAlign w:val="center"/>
                </w:tcPr>
                <w:p w14:paraId="51746A8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功能</w:t>
                  </w:r>
                </w:p>
              </w:tc>
              <w:tc>
                <w:tcPr>
                  <w:tcW w:w="582" w:type="pct"/>
                  <w:tcBorders>
                    <w:tl2br w:val="nil"/>
                    <w:tr2bl w:val="nil"/>
                  </w:tcBorders>
                  <w:shd w:val="clear" w:color="auto" w:fill="auto"/>
                  <w:noWrap/>
                  <w:vAlign w:val="center"/>
                </w:tcPr>
                <w:p w14:paraId="55382A9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生产线</w:t>
                  </w:r>
                </w:p>
              </w:tc>
            </w:tr>
            <w:tr w14:paraId="1E7ED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restart"/>
                  <w:tcBorders>
                    <w:tl2br w:val="nil"/>
                    <w:tr2bl w:val="nil"/>
                  </w:tcBorders>
                  <w:shd w:val="clear" w:color="auto" w:fill="auto"/>
                  <w:noWrap/>
                  <w:vAlign w:val="center"/>
                </w:tcPr>
                <w:p w14:paraId="41094774">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eastAsia="Arial" w:cs="Times New Roman"/>
                      <w:snapToGrid w:val="0"/>
                      <w:color w:val="auto"/>
                      <w:kern w:val="0"/>
                      <w:szCs w:val="21"/>
                      <w:highlight w:val="none"/>
                      <w:lang w:val="en-US" w:eastAsia="zh-CN" w:bidi="ar"/>
                    </w:rPr>
                    <w:t>29号厂房</w:t>
                  </w:r>
                  <w:r>
                    <w:rPr>
                      <w:rFonts w:hint="default" w:ascii="Times New Roman" w:hAnsi="Times New Roman" w:eastAsia="Arial" w:cs="Times New Roman"/>
                      <w:snapToGrid w:val="0"/>
                      <w:color w:val="auto"/>
                      <w:kern w:val="0"/>
                      <w:szCs w:val="21"/>
                      <w:highlight w:val="none"/>
                      <w:lang w:val="en-US" w:eastAsia="zh-CN" w:bidi="ar"/>
                    </w:rPr>
                    <w:t>B栋1楼</w:t>
                  </w:r>
                </w:p>
              </w:tc>
              <w:tc>
                <w:tcPr>
                  <w:tcW w:w="928" w:type="pct"/>
                  <w:vMerge w:val="restart"/>
                  <w:tcBorders>
                    <w:tl2br w:val="nil"/>
                    <w:tr2bl w:val="nil"/>
                  </w:tcBorders>
                  <w:shd w:val="clear" w:color="auto" w:fill="auto"/>
                  <w:noWrap/>
                  <w:vAlign w:val="center"/>
                </w:tcPr>
                <w:p w14:paraId="0BAAFD2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高频机</w:t>
                  </w:r>
                </w:p>
              </w:tc>
              <w:tc>
                <w:tcPr>
                  <w:tcW w:w="586" w:type="pct"/>
                  <w:tcBorders>
                    <w:tl2br w:val="nil"/>
                    <w:tr2bl w:val="nil"/>
                  </w:tcBorders>
                  <w:shd w:val="clear" w:color="auto" w:fill="auto"/>
                  <w:noWrap/>
                  <w:vAlign w:val="center"/>
                </w:tcPr>
                <w:p w14:paraId="62D3728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547FC625">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LYD100KW-EQ</w:t>
                  </w:r>
                </w:p>
              </w:tc>
              <w:tc>
                <w:tcPr>
                  <w:tcW w:w="991" w:type="pct"/>
                  <w:vMerge w:val="restart"/>
                  <w:tcBorders>
                    <w:tl2br w:val="nil"/>
                    <w:tr2bl w:val="nil"/>
                  </w:tcBorders>
                  <w:shd w:val="clear" w:color="auto" w:fill="auto"/>
                  <w:noWrap/>
                  <w:vAlign w:val="center"/>
                </w:tcPr>
                <w:p w14:paraId="324804C2">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成型</w:t>
                  </w:r>
                </w:p>
              </w:tc>
              <w:tc>
                <w:tcPr>
                  <w:tcW w:w="582" w:type="pct"/>
                  <w:vMerge w:val="restart"/>
                  <w:tcBorders>
                    <w:tl2br w:val="nil"/>
                    <w:tr2bl w:val="nil"/>
                  </w:tcBorders>
                  <w:shd w:val="clear" w:color="auto" w:fill="auto"/>
                  <w:noWrap/>
                  <w:vAlign w:val="center"/>
                </w:tcPr>
                <w:p w14:paraId="023A4AF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露营垫</w:t>
                  </w:r>
                </w:p>
              </w:tc>
            </w:tr>
            <w:tr w14:paraId="5825D1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7F32C2F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49BD5C7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6F6AD0D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4</w:t>
                  </w:r>
                </w:p>
              </w:tc>
              <w:tc>
                <w:tcPr>
                  <w:tcW w:w="1283" w:type="pct"/>
                  <w:tcBorders>
                    <w:tl2br w:val="nil"/>
                    <w:tr2bl w:val="nil"/>
                  </w:tcBorders>
                  <w:shd w:val="clear" w:color="auto" w:fill="auto"/>
                  <w:noWrap/>
                  <w:vAlign w:val="center"/>
                </w:tcPr>
                <w:p w14:paraId="30797C5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LXTK5-Q</w:t>
                  </w:r>
                </w:p>
              </w:tc>
              <w:tc>
                <w:tcPr>
                  <w:tcW w:w="991" w:type="pct"/>
                  <w:vMerge w:val="continue"/>
                  <w:tcBorders>
                    <w:tl2br w:val="nil"/>
                    <w:tr2bl w:val="nil"/>
                  </w:tcBorders>
                  <w:shd w:val="clear" w:color="auto" w:fill="auto"/>
                  <w:noWrap/>
                  <w:vAlign w:val="center"/>
                </w:tcPr>
                <w:p w14:paraId="20C4396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4199F5D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0FAC66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3AA9B4A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23A23D5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床围带机</w:t>
                  </w:r>
                </w:p>
              </w:tc>
              <w:tc>
                <w:tcPr>
                  <w:tcW w:w="586" w:type="pct"/>
                  <w:tcBorders>
                    <w:tl2br w:val="nil"/>
                    <w:tr2bl w:val="nil"/>
                  </w:tcBorders>
                  <w:shd w:val="clear" w:color="auto" w:fill="auto"/>
                  <w:noWrap/>
                  <w:vAlign w:val="center"/>
                </w:tcPr>
                <w:p w14:paraId="5AA6ECD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2786891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LXTMWP8-600-YS</w:t>
                  </w:r>
                </w:p>
              </w:tc>
              <w:tc>
                <w:tcPr>
                  <w:tcW w:w="991" w:type="pct"/>
                  <w:tcBorders>
                    <w:tl2br w:val="nil"/>
                    <w:tr2bl w:val="nil"/>
                  </w:tcBorders>
                  <w:shd w:val="clear" w:color="auto" w:fill="auto"/>
                  <w:noWrap/>
                  <w:vAlign w:val="center"/>
                </w:tcPr>
                <w:p w14:paraId="2980335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围带成型、印刷</w:t>
                  </w:r>
                </w:p>
              </w:tc>
              <w:tc>
                <w:tcPr>
                  <w:tcW w:w="582" w:type="pct"/>
                  <w:vMerge w:val="restart"/>
                  <w:tcBorders>
                    <w:tl2br w:val="nil"/>
                    <w:tr2bl w:val="nil"/>
                  </w:tcBorders>
                  <w:shd w:val="clear" w:color="auto" w:fill="auto"/>
                  <w:noWrap/>
                  <w:vAlign w:val="center"/>
                </w:tcPr>
                <w:p w14:paraId="7D779DB2">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充气床</w:t>
                  </w:r>
                </w:p>
              </w:tc>
            </w:tr>
            <w:tr w14:paraId="071093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54334CB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6083AAC4">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拉带机</w:t>
                  </w:r>
                </w:p>
              </w:tc>
              <w:tc>
                <w:tcPr>
                  <w:tcW w:w="586" w:type="pct"/>
                  <w:tcBorders>
                    <w:tl2br w:val="nil"/>
                    <w:tr2bl w:val="nil"/>
                  </w:tcBorders>
                  <w:shd w:val="clear" w:color="auto" w:fill="auto"/>
                  <w:noWrap/>
                  <w:vAlign w:val="center"/>
                </w:tcPr>
                <w:p w14:paraId="762E936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w:t>
                  </w:r>
                </w:p>
              </w:tc>
              <w:tc>
                <w:tcPr>
                  <w:tcW w:w="1283" w:type="pct"/>
                  <w:tcBorders>
                    <w:tl2br w:val="nil"/>
                    <w:tr2bl w:val="nil"/>
                  </w:tcBorders>
                  <w:shd w:val="clear" w:color="auto" w:fill="auto"/>
                  <w:noWrap/>
                  <w:vAlign w:val="center"/>
                </w:tcPr>
                <w:p w14:paraId="691F9F4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LXLD8</w:t>
                  </w:r>
                </w:p>
              </w:tc>
              <w:tc>
                <w:tcPr>
                  <w:tcW w:w="991" w:type="pct"/>
                  <w:tcBorders>
                    <w:tl2br w:val="nil"/>
                    <w:tr2bl w:val="nil"/>
                  </w:tcBorders>
                  <w:shd w:val="clear" w:color="auto" w:fill="auto"/>
                  <w:noWrap/>
                  <w:vAlign w:val="center"/>
                </w:tcPr>
                <w:p w14:paraId="7CCD36C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拉带成型</w:t>
                  </w:r>
                </w:p>
              </w:tc>
              <w:tc>
                <w:tcPr>
                  <w:tcW w:w="582" w:type="pct"/>
                  <w:vMerge w:val="continue"/>
                  <w:tcBorders>
                    <w:tl2br w:val="nil"/>
                    <w:tr2bl w:val="nil"/>
                  </w:tcBorders>
                  <w:shd w:val="clear" w:color="auto" w:fill="auto"/>
                  <w:noWrap/>
                  <w:vAlign w:val="center"/>
                </w:tcPr>
                <w:p w14:paraId="06BF312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4CA07B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0C6C623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1E1357D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cs="Times New Roman"/>
                      <w:snapToGrid w:val="0"/>
                      <w:color w:val="auto"/>
                      <w:kern w:val="0"/>
                      <w:szCs w:val="21"/>
                      <w:highlight w:val="none"/>
                      <w:lang w:val="en-US" w:eastAsia="zh-CN" w:bidi="ar"/>
                    </w:rPr>
                    <w:t>高温机</w:t>
                  </w:r>
                </w:p>
              </w:tc>
              <w:tc>
                <w:tcPr>
                  <w:tcW w:w="586" w:type="pct"/>
                  <w:tcBorders>
                    <w:tl2br w:val="nil"/>
                    <w:tr2bl w:val="nil"/>
                  </w:tcBorders>
                  <w:shd w:val="clear" w:color="auto" w:fill="auto"/>
                  <w:noWrap/>
                  <w:vAlign w:val="center"/>
                </w:tcPr>
                <w:p w14:paraId="06AABF8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6B02BC4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cs="Times New Roman"/>
                      <w:snapToGrid w:val="0"/>
                      <w:color w:val="auto"/>
                      <w:kern w:val="0"/>
                      <w:szCs w:val="21"/>
                      <w:highlight w:val="none"/>
                      <w:lang w:val="en-US" w:eastAsia="zh-CN" w:bidi="ar"/>
                    </w:rPr>
                    <w:t>RF-A20</w:t>
                  </w:r>
                </w:p>
              </w:tc>
              <w:tc>
                <w:tcPr>
                  <w:tcW w:w="991" w:type="pct"/>
                  <w:tcBorders>
                    <w:tl2br w:val="nil"/>
                    <w:tr2bl w:val="nil"/>
                  </w:tcBorders>
                  <w:shd w:val="clear" w:color="auto" w:fill="auto"/>
                  <w:noWrap/>
                  <w:vAlign w:val="center"/>
                </w:tcPr>
                <w:p w14:paraId="7D80C3F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cs="Times New Roman"/>
                      <w:snapToGrid w:val="0"/>
                      <w:color w:val="auto"/>
                      <w:kern w:val="0"/>
                      <w:szCs w:val="21"/>
                      <w:highlight w:val="none"/>
                      <w:lang w:val="en-US" w:eastAsia="zh-CN" w:bidi="ar"/>
                    </w:rPr>
                    <w:t>高温成型</w:t>
                  </w:r>
                </w:p>
              </w:tc>
              <w:tc>
                <w:tcPr>
                  <w:tcW w:w="582" w:type="pct"/>
                  <w:vMerge w:val="continue"/>
                  <w:tcBorders>
                    <w:tl2br w:val="nil"/>
                    <w:tr2bl w:val="nil"/>
                  </w:tcBorders>
                  <w:shd w:val="clear" w:color="auto" w:fill="auto"/>
                  <w:noWrap/>
                  <w:vAlign w:val="center"/>
                </w:tcPr>
                <w:p w14:paraId="6E970CA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03153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46490B6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7F6C118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上下片裁床</w:t>
                  </w:r>
                </w:p>
              </w:tc>
              <w:tc>
                <w:tcPr>
                  <w:tcW w:w="586" w:type="pct"/>
                  <w:tcBorders>
                    <w:tl2br w:val="nil"/>
                    <w:tr2bl w:val="nil"/>
                  </w:tcBorders>
                  <w:shd w:val="clear" w:color="auto" w:fill="auto"/>
                  <w:noWrap/>
                  <w:vAlign w:val="center"/>
                </w:tcPr>
                <w:p w14:paraId="30BC88E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3575FD6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HD-2130-C8</w:t>
                  </w:r>
                </w:p>
              </w:tc>
              <w:tc>
                <w:tcPr>
                  <w:tcW w:w="991" w:type="pct"/>
                  <w:vMerge w:val="restart"/>
                  <w:tcBorders>
                    <w:tl2br w:val="nil"/>
                    <w:tr2bl w:val="nil"/>
                  </w:tcBorders>
                  <w:shd w:val="clear" w:color="auto" w:fill="auto"/>
                  <w:noWrap/>
                  <w:vAlign w:val="center"/>
                </w:tcPr>
                <w:p w14:paraId="146A41D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裁剪</w:t>
                  </w:r>
                </w:p>
              </w:tc>
              <w:tc>
                <w:tcPr>
                  <w:tcW w:w="582" w:type="pct"/>
                  <w:vMerge w:val="continue"/>
                  <w:tcBorders>
                    <w:tl2br w:val="nil"/>
                    <w:tr2bl w:val="nil"/>
                  </w:tcBorders>
                  <w:shd w:val="clear" w:color="auto" w:fill="auto"/>
                  <w:noWrap/>
                  <w:vAlign w:val="center"/>
                </w:tcPr>
                <w:p w14:paraId="3D8A543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046C37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6EA402F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717B72F2">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分切机</w:t>
                  </w:r>
                </w:p>
              </w:tc>
              <w:tc>
                <w:tcPr>
                  <w:tcW w:w="586" w:type="pct"/>
                  <w:tcBorders>
                    <w:tl2br w:val="nil"/>
                    <w:tr2bl w:val="nil"/>
                  </w:tcBorders>
                  <w:shd w:val="clear" w:color="auto" w:fill="auto"/>
                  <w:noWrap/>
                  <w:vAlign w:val="center"/>
                </w:tcPr>
                <w:p w14:paraId="14E3D16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777B4F4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2000普通型</w:t>
                  </w:r>
                </w:p>
              </w:tc>
              <w:tc>
                <w:tcPr>
                  <w:tcW w:w="991" w:type="pct"/>
                  <w:vMerge w:val="continue"/>
                  <w:tcBorders>
                    <w:tl2br w:val="nil"/>
                    <w:tr2bl w:val="nil"/>
                  </w:tcBorders>
                  <w:shd w:val="clear" w:color="auto" w:fill="auto"/>
                  <w:noWrap/>
                  <w:vAlign w:val="center"/>
                </w:tcPr>
                <w:p w14:paraId="7FF78B7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77E3A46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4BB036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56B3AEF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7B1C1C9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冲床</w:t>
                  </w:r>
                </w:p>
              </w:tc>
              <w:tc>
                <w:tcPr>
                  <w:tcW w:w="586" w:type="pct"/>
                  <w:tcBorders>
                    <w:tl2br w:val="nil"/>
                    <w:tr2bl w:val="nil"/>
                  </w:tcBorders>
                  <w:shd w:val="clear" w:color="auto" w:fill="auto"/>
                  <w:noWrap/>
                  <w:vAlign w:val="center"/>
                </w:tcPr>
                <w:p w14:paraId="662B560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61D73E8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SN1-45</w:t>
                  </w:r>
                </w:p>
              </w:tc>
              <w:tc>
                <w:tcPr>
                  <w:tcW w:w="991" w:type="pct"/>
                  <w:vMerge w:val="continue"/>
                  <w:tcBorders>
                    <w:tl2br w:val="nil"/>
                    <w:tr2bl w:val="nil"/>
                  </w:tcBorders>
                  <w:shd w:val="clear" w:color="auto" w:fill="auto"/>
                  <w:noWrap/>
                  <w:vAlign w:val="center"/>
                </w:tcPr>
                <w:p w14:paraId="741D1DB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08ADFA4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1A10C5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restart"/>
                  <w:tcBorders>
                    <w:tl2br w:val="nil"/>
                    <w:tr2bl w:val="nil"/>
                  </w:tcBorders>
                  <w:shd w:val="clear" w:color="auto" w:fill="auto"/>
                  <w:noWrap/>
                  <w:vAlign w:val="center"/>
                </w:tcPr>
                <w:p w14:paraId="0712009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eastAsia="Arial" w:cs="Times New Roman"/>
                      <w:snapToGrid w:val="0"/>
                      <w:color w:val="auto"/>
                      <w:kern w:val="0"/>
                      <w:szCs w:val="21"/>
                      <w:highlight w:val="none"/>
                      <w:lang w:val="en-US" w:eastAsia="zh-CN" w:bidi="ar"/>
                    </w:rPr>
                    <w:t>29号厂房</w:t>
                  </w:r>
                  <w:r>
                    <w:rPr>
                      <w:rFonts w:hint="default" w:ascii="Times New Roman" w:hAnsi="Times New Roman" w:eastAsia="Arial" w:cs="Times New Roman"/>
                      <w:snapToGrid w:val="0"/>
                      <w:color w:val="auto"/>
                      <w:kern w:val="0"/>
                      <w:szCs w:val="21"/>
                      <w:highlight w:val="none"/>
                      <w:lang w:val="en-US" w:eastAsia="zh-CN" w:bidi="ar"/>
                    </w:rPr>
                    <w:t>B栋2楼</w:t>
                  </w:r>
                </w:p>
              </w:tc>
              <w:tc>
                <w:tcPr>
                  <w:tcW w:w="928" w:type="pct"/>
                  <w:vMerge w:val="restart"/>
                  <w:tcBorders>
                    <w:tl2br w:val="nil"/>
                    <w:tr2bl w:val="nil"/>
                  </w:tcBorders>
                  <w:shd w:val="clear" w:color="auto" w:fill="auto"/>
                  <w:noWrap/>
                  <w:vAlign w:val="center"/>
                </w:tcPr>
                <w:p w14:paraId="2054EB2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高频机</w:t>
                  </w:r>
                </w:p>
              </w:tc>
              <w:tc>
                <w:tcPr>
                  <w:tcW w:w="586" w:type="pct"/>
                  <w:tcBorders>
                    <w:tl2br w:val="nil"/>
                    <w:tr2bl w:val="nil"/>
                  </w:tcBorders>
                  <w:shd w:val="clear" w:color="auto" w:fill="auto"/>
                  <w:noWrap/>
                  <w:vAlign w:val="center"/>
                </w:tcPr>
                <w:p w14:paraId="26742EB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64703F4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LXIST150-EQ</w:t>
                  </w:r>
                </w:p>
              </w:tc>
              <w:tc>
                <w:tcPr>
                  <w:tcW w:w="991" w:type="pct"/>
                  <w:vMerge w:val="restart"/>
                  <w:tcBorders>
                    <w:tl2br w:val="nil"/>
                    <w:tr2bl w:val="nil"/>
                  </w:tcBorders>
                  <w:shd w:val="clear" w:color="auto" w:fill="auto"/>
                  <w:noWrap/>
                  <w:vAlign w:val="center"/>
                </w:tcPr>
                <w:p w14:paraId="4737291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成型</w:t>
                  </w:r>
                </w:p>
              </w:tc>
              <w:tc>
                <w:tcPr>
                  <w:tcW w:w="582" w:type="pct"/>
                  <w:vMerge w:val="restart"/>
                  <w:tcBorders>
                    <w:tl2br w:val="nil"/>
                    <w:tr2bl w:val="nil"/>
                  </w:tcBorders>
                  <w:shd w:val="clear" w:color="auto" w:fill="auto"/>
                  <w:noWrap/>
                  <w:vAlign w:val="center"/>
                </w:tcPr>
                <w:p w14:paraId="504AEED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充气床</w:t>
                  </w:r>
                </w:p>
              </w:tc>
            </w:tr>
            <w:tr w14:paraId="0FE962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50D29F4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4BF950A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7DEAD31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2269BF8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LXIST75-EQ</w:t>
                  </w:r>
                </w:p>
              </w:tc>
              <w:tc>
                <w:tcPr>
                  <w:tcW w:w="991" w:type="pct"/>
                  <w:vMerge w:val="continue"/>
                  <w:tcBorders>
                    <w:tl2br w:val="nil"/>
                    <w:tr2bl w:val="nil"/>
                  </w:tcBorders>
                  <w:shd w:val="clear" w:color="auto" w:fill="auto"/>
                  <w:noWrap/>
                  <w:vAlign w:val="center"/>
                </w:tcPr>
                <w:p w14:paraId="2D448F4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6129902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17D53C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51AD083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0B7CCD4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235D19B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03486F3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LXC15-2-2Q</w:t>
                  </w:r>
                </w:p>
              </w:tc>
              <w:tc>
                <w:tcPr>
                  <w:tcW w:w="991" w:type="pct"/>
                  <w:vMerge w:val="continue"/>
                  <w:tcBorders>
                    <w:tl2br w:val="nil"/>
                    <w:tr2bl w:val="nil"/>
                  </w:tcBorders>
                  <w:shd w:val="clear" w:color="auto" w:fill="auto"/>
                  <w:noWrap/>
                  <w:vAlign w:val="center"/>
                </w:tcPr>
                <w:p w14:paraId="6B347491">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4D9AAE6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0511B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2AC47405">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5C06C0D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098BAFC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5</w:t>
                  </w:r>
                </w:p>
              </w:tc>
              <w:tc>
                <w:tcPr>
                  <w:tcW w:w="1283" w:type="pct"/>
                  <w:tcBorders>
                    <w:tl2br w:val="nil"/>
                    <w:tr2bl w:val="nil"/>
                  </w:tcBorders>
                  <w:shd w:val="clear" w:color="auto" w:fill="auto"/>
                  <w:noWrap/>
                  <w:vAlign w:val="center"/>
                </w:tcPr>
                <w:p w14:paraId="67F785A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LXTK5-Q</w:t>
                  </w:r>
                </w:p>
              </w:tc>
              <w:tc>
                <w:tcPr>
                  <w:tcW w:w="991" w:type="pct"/>
                  <w:vMerge w:val="continue"/>
                  <w:tcBorders>
                    <w:tl2br w:val="nil"/>
                    <w:tr2bl w:val="nil"/>
                  </w:tcBorders>
                  <w:shd w:val="clear" w:color="auto" w:fill="auto"/>
                  <w:noWrap/>
                  <w:vAlign w:val="center"/>
                </w:tcPr>
                <w:p w14:paraId="194D20E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2A5285A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59872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447E98D1">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45A115E4">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0EF9663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118C7CF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LXC35-2-2Q</w:t>
                  </w:r>
                </w:p>
              </w:tc>
              <w:tc>
                <w:tcPr>
                  <w:tcW w:w="991" w:type="pct"/>
                  <w:vMerge w:val="continue"/>
                  <w:tcBorders>
                    <w:tl2br w:val="nil"/>
                    <w:tr2bl w:val="nil"/>
                  </w:tcBorders>
                  <w:shd w:val="clear" w:color="auto" w:fill="auto"/>
                  <w:noWrap/>
                  <w:vAlign w:val="center"/>
                </w:tcPr>
                <w:p w14:paraId="50BE50C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373BBFE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6493AF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restart"/>
                  <w:tcBorders>
                    <w:tl2br w:val="nil"/>
                    <w:tr2bl w:val="nil"/>
                  </w:tcBorders>
                  <w:shd w:val="clear" w:color="auto" w:fill="auto"/>
                  <w:noWrap/>
                  <w:vAlign w:val="center"/>
                </w:tcPr>
                <w:p w14:paraId="0C17BA8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58号厂房</w:t>
                  </w:r>
                </w:p>
              </w:tc>
              <w:tc>
                <w:tcPr>
                  <w:tcW w:w="928" w:type="pct"/>
                  <w:vMerge w:val="restart"/>
                  <w:tcBorders>
                    <w:tl2br w:val="nil"/>
                    <w:tr2bl w:val="nil"/>
                  </w:tcBorders>
                  <w:shd w:val="clear" w:color="auto" w:fill="auto"/>
                  <w:noWrap/>
                  <w:vAlign w:val="center"/>
                </w:tcPr>
                <w:p w14:paraId="7A6E20D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高频机</w:t>
                  </w:r>
                </w:p>
              </w:tc>
              <w:tc>
                <w:tcPr>
                  <w:tcW w:w="586" w:type="pct"/>
                  <w:tcBorders>
                    <w:tl2br w:val="nil"/>
                    <w:tr2bl w:val="nil"/>
                  </w:tcBorders>
                  <w:shd w:val="clear" w:color="auto" w:fill="auto"/>
                  <w:noWrap/>
                  <w:vAlign w:val="center"/>
                </w:tcPr>
                <w:p w14:paraId="5E66E13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w:t>
                  </w:r>
                </w:p>
              </w:tc>
              <w:tc>
                <w:tcPr>
                  <w:tcW w:w="1283" w:type="pct"/>
                  <w:tcBorders>
                    <w:tl2br w:val="nil"/>
                    <w:tr2bl w:val="nil"/>
                  </w:tcBorders>
                  <w:shd w:val="clear" w:color="auto" w:fill="auto"/>
                  <w:noWrap/>
                  <w:vAlign w:val="center"/>
                </w:tcPr>
                <w:p w14:paraId="5F930EB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LXIST150-EQ</w:t>
                  </w:r>
                </w:p>
              </w:tc>
              <w:tc>
                <w:tcPr>
                  <w:tcW w:w="991" w:type="pct"/>
                  <w:vMerge w:val="restart"/>
                  <w:tcBorders>
                    <w:tl2br w:val="nil"/>
                    <w:tr2bl w:val="nil"/>
                  </w:tcBorders>
                  <w:shd w:val="clear" w:color="auto" w:fill="auto"/>
                  <w:noWrap/>
                  <w:vAlign w:val="center"/>
                </w:tcPr>
                <w:p w14:paraId="367C387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成型</w:t>
                  </w:r>
                </w:p>
              </w:tc>
              <w:tc>
                <w:tcPr>
                  <w:tcW w:w="582" w:type="pct"/>
                  <w:vMerge w:val="restart"/>
                  <w:tcBorders>
                    <w:tl2br w:val="nil"/>
                    <w:tr2bl w:val="nil"/>
                  </w:tcBorders>
                  <w:shd w:val="clear" w:color="auto" w:fill="auto"/>
                  <w:noWrap/>
                  <w:vAlign w:val="center"/>
                </w:tcPr>
                <w:p w14:paraId="1E1E9FC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充气床</w:t>
                  </w:r>
                  <w:r>
                    <w:rPr>
                      <w:rFonts w:hint="eastAsia" w:ascii="Times New Roman" w:hAnsi="Times New Roman" w:cs="Times New Roman"/>
                      <w:snapToGrid w:val="0"/>
                      <w:color w:val="auto"/>
                      <w:kern w:val="0"/>
                      <w:szCs w:val="21"/>
                      <w:highlight w:val="none"/>
                      <w:lang w:val="en-US" w:eastAsia="zh-CN" w:bidi="ar"/>
                    </w:rPr>
                    <w:t xml:space="preserve">、箱包                                                                                                                                                                                                                                                                                                                                                </w:t>
                  </w:r>
                </w:p>
              </w:tc>
            </w:tr>
            <w:tr w14:paraId="42520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238270A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69E32FE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2EDEFC1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3</w:t>
                  </w:r>
                </w:p>
              </w:tc>
              <w:tc>
                <w:tcPr>
                  <w:tcW w:w="1283" w:type="pct"/>
                  <w:tcBorders>
                    <w:tl2br w:val="nil"/>
                    <w:tr2bl w:val="nil"/>
                  </w:tcBorders>
                  <w:shd w:val="clear" w:color="auto" w:fill="auto"/>
                  <w:noWrap/>
                  <w:vAlign w:val="center"/>
                </w:tcPr>
                <w:p w14:paraId="1FCEE3D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LXIST75-EQ</w:t>
                  </w:r>
                </w:p>
              </w:tc>
              <w:tc>
                <w:tcPr>
                  <w:tcW w:w="991" w:type="pct"/>
                  <w:vMerge w:val="continue"/>
                  <w:tcBorders>
                    <w:tl2br w:val="nil"/>
                    <w:tr2bl w:val="nil"/>
                  </w:tcBorders>
                  <w:shd w:val="clear" w:color="auto" w:fill="auto"/>
                  <w:noWrap/>
                  <w:vAlign w:val="center"/>
                </w:tcPr>
                <w:p w14:paraId="3A29E651">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6E1BDD9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4879FE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0D96A9D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1F747D3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378C358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w:t>
                  </w:r>
                </w:p>
              </w:tc>
              <w:tc>
                <w:tcPr>
                  <w:tcW w:w="1283" w:type="pct"/>
                  <w:tcBorders>
                    <w:tl2br w:val="nil"/>
                    <w:tr2bl w:val="nil"/>
                  </w:tcBorders>
                  <w:shd w:val="clear" w:color="auto" w:fill="auto"/>
                  <w:noWrap/>
                  <w:vAlign w:val="center"/>
                </w:tcPr>
                <w:p w14:paraId="02F8983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LXC15-2-2Q</w:t>
                  </w:r>
                </w:p>
              </w:tc>
              <w:tc>
                <w:tcPr>
                  <w:tcW w:w="991" w:type="pct"/>
                  <w:vMerge w:val="continue"/>
                  <w:tcBorders>
                    <w:tl2br w:val="nil"/>
                    <w:tr2bl w:val="nil"/>
                  </w:tcBorders>
                  <w:shd w:val="clear" w:color="auto" w:fill="auto"/>
                  <w:noWrap/>
                  <w:vAlign w:val="center"/>
                </w:tcPr>
                <w:p w14:paraId="120F558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4A86B16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5C4580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502F78D5">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3B0CD21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7339724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5</w:t>
                  </w:r>
                </w:p>
              </w:tc>
              <w:tc>
                <w:tcPr>
                  <w:tcW w:w="1283" w:type="pct"/>
                  <w:tcBorders>
                    <w:tl2br w:val="nil"/>
                    <w:tr2bl w:val="nil"/>
                  </w:tcBorders>
                  <w:shd w:val="clear" w:color="auto" w:fill="auto"/>
                  <w:noWrap/>
                  <w:vAlign w:val="center"/>
                </w:tcPr>
                <w:p w14:paraId="40D0F0C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LXTK5-Q</w:t>
                  </w:r>
                </w:p>
              </w:tc>
              <w:tc>
                <w:tcPr>
                  <w:tcW w:w="991" w:type="pct"/>
                  <w:vMerge w:val="continue"/>
                  <w:tcBorders>
                    <w:tl2br w:val="nil"/>
                    <w:tr2bl w:val="nil"/>
                  </w:tcBorders>
                  <w:shd w:val="clear" w:color="auto" w:fill="auto"/>
                  <w:noWrap/>
                  <w:vAlign w:val="center"/>
                </w:tcPr>
                <w:p w14:paraId="3B65DC71">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6D2D0B74">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33DE86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3EA2C71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494FA901">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486F3A21">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53B4BA5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LXC35-2-2Q</w:t>
                  </w:r>
                </w:p>
              </w:tc>
              <w:tc>
                <w:tcPr>
                  <w:tcW w:w="991" w:type="pct"/>
                  <w:vMerge w:val="continue"/>
                  <w:tcBorders>
                    <w:tl2br w:val="nil"/>
                    <w:tr2bl w:val="nil"/>
                  </w:tcBorders>
                  <w:shd w:val="clear" w:color="auto" w:fill="auto"/>
                  <w:noWrap/>
                  <w:vAlign w:val="center"/>
                </w:tcPr>
                <w:p w14:paraId="02EF519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36A871A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05ABD3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0A5AFA4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4A3C8E47">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拉带机</w:t>
                  </w:r>
                </w:p>
              </w:tc>
              <w:tc>
                <w:tcPr>
                  <w:tcW w:w="586" w:type="pct"/>
                  <w:tcBorders>
                    <w:tl2br w:val="nil"/>
                    <w:tr2bl w:val="nil"/>
                  </w:tcBorders>
                  <w:shd w:val="clear" w:color="auto" w:fill="auto"/>
                  <w:noWrap/>
                  <w:vAlign w:val="center"/>
                </w:tcPr>
                <w:p w14:paraId="6676228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w:t>
                  </w:r>
                </w:p>
              </w:tc>
              <w:tc>
                <w:tcPr>
                  <w:tcW w:w="1283" w:type="pct"/>
                  <w:tcBorders>
                    <w:tl2br w:val="nil"/>
                    <w:tr2bl w:val="nil"/>
                  </w:tcBorders>
                  <w:shd w:val="clear" w:color="auto" w:fill="auto"/>
                  <w:noWrap/>
                  <w:vAlign w:val="center"/>
                </w:tcPr>
                <w:p w14:paraId="54E5514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LXLD8</w:t>
                  </w:r>
                </w:p>
              </w:tc>
              <w:tc>
                <w:tcPr>
                  <w:tcW w:w="991" w:type="pct"/>
                  <w:tcBorders>
                    <w:tl2br w:val="nil"/>
                    <w:tr2bl w:val="nil"/>
                  </w:tcBorders>
                  <w:shd w:val="clear" w:color="auto" w:fill="auto"/>
                  <w:noWrap/>
                  <w:vAlign w:val="center"/>
                </w:tcPr>
                <w:p w14:paraId="4E51FB2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拉带成型</w:t>
                  </w:r>
                </w:p>
              </w:tc>
              <w:tc>
                <w:tcPr>
                  <w:tcW w:w="582" w:type="pct"/>
                  <w:vMerge w:val="continue"/>
                  <w:tcBorders>
                    <w:tl2br w:val="nil"/>
                    <w:tr2bl w:val="nil"/>
                  </w:tcBorders>
                  <w:shd w:val="clear" w:color="auto" w:fill="auto"/>
                  <w:noWrap/>
                  <w:vAlign w:val="center"/>
                </w:tcPr>
                <w:p w14:paraId="4C901AD0">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545890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21DA6BE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restart"/>
                  <w:tcBorders>
                    <w:tl2br w:val="nil"/>
                    <w:tr2bl w:val="nil"/>
                  </w:tcBorders>
                  <w:shd w:val="clear" w:color="auto" w:fill="auto"/>
                  <w:noWrap/>
                  <w:vAlign w:val="center"/>
                </w:tcPr>
                <w:p w14:paraId="1EABC90E">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高频机</w:t>
                  </w:r>
                </w:p>
              </w:tc>
              <w:tc>
                <w:tcPr>
                  <w:tcW w:w="586" w:type="pct"/>
                  <w:tcBorders>
                    <w:tl2br w:val="nil"/>
                    <w:tr2bl w:val="nil"/>
                  </w:tcBorders>
                  <w:shd w:val="clear" w:color="auto" w:fill="auto"/>
                  <w:noWrap/>
                  <w:vAlign w:val="center"/>
                </w:tcPr>
                <w:p w14:paraId="2628CF0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4</w:t>
                  </w:r>
                </w:p>
              </w:tc>
              <w:tc>
                <w:tcPr>
                  <w:tcW w:w="1283" w:type="pct"/>
                  <w:tcBorders>
                    <w:tl2br w:val="nil"/>
                    <w:tr2bl w:val="nil"/>
                  </w:tcBorders>
                  <w:shd w:val="clear" w:color="auto" w:fill="auto"/>
                  <w:noWrap/>
                  <w:vAlign w:val="center"/>
                </w:tcPr>
                <w:p w14:paraId="02B53CC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LYD100KW-EQ</w:t>
                  </w:r>
                </w:p>
              </w:tc>
              <w:tc>
                <w:tcPr>
                  <w:tcW w:w="991" w:type="pct"/>
                  <w:vMerge w:val="restart"/>
                  <w:tcBorders>
                    <w:tl2br w:val="nil"/>
                    <w:tr2bl w:val="nil"/>
                  </w:tcBorders>
                  <w:shd w:val="clear" w:color="auto" w:fill="auto"/>
                  <w:noWrap/>
                  <w:vAlign w:val="center"/>
                </w:tcPr>
                <w:p w14:paraId="16217974">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成型</w:t>
                  </w:r>
                </w:p>
              </w:tc>
              <w:tc>
                <w:tcPr>
                  <w:tcW w:w="582" w:type="pct"/>
                  <w:vMerge w:val="restart"/>
                  <w:tcBorders>
                    <w:tl2br w:val="nil"/>
                    <w:tr2bl w:val="nil"/>
                  </w:tcBorders>
                  <w:shd w:val="clear" w:color="auto" w:fill="auto"/>
                  <w:noWrap/>
                  <w:vAlign w:val="center"/>
                </w:tcPr>
                <w:p w14:paraId="3D75AAE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露营垫</w:t>
                  </w:r>
                </w:p>
              </w:tc>
            </w:tr>
            <w:tr w14:paraId="7A1603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134BC71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vMerge w:val="continue"/>
                  <w:tcBorders>
                    <w:tl2br w:val="nil"/>
                    <w:tr2bl w:val="nil"/>
                  </w:tcBorders>
                  <w:shd w:val="clear" w:color="auto" w:fill="auto"/>
                  <w:noWrap/>
                  <w:vAlign w:val="center"/>
                </w:tcPr>
                <w:p w14:paraId="2CB242B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6" w:type="pct"/>
                  <w:tcBorders>
                    <w:tl2br w:val="nil"/>
                    <w:tr2bl w:val="nil"/>
                  </w:tcBorders>
                  <w:shd w:val="clear" w:color="auto" w:fill="auto"/>
                  <w:noWrap/>
                  <w:vAlign w:val="center"/>
                </w:tcPr>
                <w:p w14:paraId="489D9A2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4</w:t>
                  </w:r>
                </w:p>
              </w:tc>
              <w:tc>
                <w:tcPr>
                  <w:tcW w:w="1283" w:type="pct"/>
                  <w:tcBorders>
                    <w:tl2br w:val="nil"/>
                    <w:tr2bl w:val="nil"/>
                  </w:tcBorders>
                  <w:shd w:val="clear" w:color="auto" w:fill="auto"/>
                  <w:noWrap/>
                  <w:vAlign w:val="center"/>
                </w:tcPr>
                <w:p w14:paraId="0A902D52">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LXTK5-Q</w:t>
                  </w:r>
                </w:p>
              </w:tc>
              <w:tc>
                <w:tcPr>
                  <w:tcW w:w="991" w:type="pct"/>
                  <w:vMerge w:val="continue"/>
                  <w:tcBorders>
                    <w:tl2br w:val="nil"/>
                    <w:tr2bl w:val="nil"/>
                  </w:tcBorders>
                  <w:shd w:val="clear" w:color="auto" w:fill="auto"/>
                  <w:noWrap/>
                  <w:vAlign w:val="center"/>
                </w:tcPr>
                <w:p w14:paraId="1835A03C">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2CD7C755">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5FFC7E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1809B98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57DBEE5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拉带机</w:t>
                  </w:r>
                </w:p>
              </w:tc>
              <w:tc>
                <w:tcPr>
                  <w:tcW w:w="586" w:type="pct"/>
                  <w:tcBorders>
                    <w:tl2br w:val="nil"/>
                    <w:tr2bl w:val="nil"/>
                  </w:tcBorders>
                  <w:shd w:val="clear" w:color="auto" w:fill="auto"/>
                  <w:noWrap/>
                  <w:vAlign w:val="center"/>
                </w:tcPr>
                <w:p w14:paraId="3F3370E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w:t>
                  </w:r>
                </w:p>
              </w:tc>
              <w:tc>
                <w:tcPr>
                  <w:tcW w:w="1283" w:type="pct"/>
                  <w:tcBorders>
                    <w:tl2br w:val="nil"/>
                    <w:tr2bl w:val="nil"/>
                  </w:tcBorders>
                  <w:shd w:val="clear" w:color="auto" w:fill="auto"/>
                  <w:noWrap/>
                  <w:vAlign w:val="center"/>
                </w:tcPr>
                <w:p w14:paraId="48F84BD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LXLD8</w:t>
                  </w:r>
                </w:p>
              </w:tc>
              <w:tc>
                <w:tcPr>
                  <w:tcW w:w="991" w:type="pct"/>
                  <w:tcBorders>
                    <w:tl2br w:val="nil"/>
                    <w:tr2bl w:val="nil"/>
                  </w:tcBorders>
                  <w:shd w:val="clear" w:color="auto" w:fill="auto"/>
                  <w:noWrap/>
                  <w:vAlign w:val="center"/>
                </w:tcPr>
                <w:p w14:paraId="487C6AC9">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拉带成型</w:t>
                  </w:r>
                </w:p>
              </w:tc>
              <w:tc>
                <w:tcPr>
                  <w:tcW w:w="582" w:type="pct"/>
                  <w:vMerge w:val="restart"/>
                  <w:tcBorders>
                    <w:tl2br w:val="nil"/>
                    <w:tr2bl w:val="nil"/>
                  </w:tcBorders>
                  <w:shd w:val="clear" w:color="auto" w:fill="auto"/>
                  <w:noWrap/>
                  <w:vAlign w:val="center"/>
                </w:tcPr>
                <w:p w14:paraId="25970CE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eastAsia" w:ascii="Times New Roman" w:hAnsi="Times New Roman" w:cs="Times New Roman"/>
                      <w:snapToGrid w:val="0"/>
                      <w:color w:val="auto"/>
                      <w:kern w:val="0"/>
                      <w:szCs w:val="21"/>
                      <w:highlight w:val="none"/>
                      <w:lang w:val="en-US" w:eastAsia="zh-CN" w:bidi="ar"/>
                    </w:rPr>
                    <w:t>箱包</w:t>
                  </w:r>
                </w:p>
              </w:tc>
            </w:tr>
            <w:tr w14:paraId="676B9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trPr>
              <w:tc>
                <w:tcPr>
                  <w:tcW w:w="627" w:type="pct"/>
                  <w:vMerge w:val="continue"/>
                  <w:tcBorders>
                    <w:tl2br w:val="nil"/>
                    <w:tr2bl w:val="nil"/>
                  </w:tcBorders>
                  <w:shd w:val="clear" w:color="auto" w:fill="auto"/>
                  <w:noWrap/>
                  <w:vAlign w:val="center"/>
                </w:tcPr>
                <w:p w14:paraId="7A610B2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1308863A">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上下片裁床</w:t>
                  </w:r>
                </w:p>
              </w:tc>
              <w:tc>
                <w:tcPr>
                  <w:tcW w:w="586" w:type="pct"/>
                  <w:tcBorders>
                    <w:tl2br w:val="nil"/>
                    <w:tr2bl w:val="nil"/>
                  </w:tcBorders>
                  <w:shd w:val="clear" w:color="auto" w:fill="auto"/>
                  <w:noWrap/>
                  <w:vAlign w:val="center"/>
                </w:tcPr>
                <w:p w14:paraId="69DA4A1D">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750E588B">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HD-2130-C8</w:t>
                  </w:r>
                </w:p>
              </w:tc>
              <w:tc>
                <w:tcPr>
                  <w:tcW w:w="991" w:type="pct"/>
                  <w:vMerge w:val="restart"/>
                  <w:tcBorders>
                    <w:tl2br w:val="nil"/>
                    <w:tr2bl w:val="nil"/>
                  </w:tcBorders>
                  <w:shd w:val="clear" w:color="auto" w:fill="auto"/>
                  <w:noWrap/>
                  <w:vAlign w:val="center"/>
                </w:tcPr>
                <w:p w14:paraId="18B36318">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裁剪</w:t>
                  </w:r>
                </w:p>
              </w:tc>
              <w:tc>
                <w:tcPr>
                  <w:tcW w:w="582" w:type="pct"/>
                  <w:vMerge w:val="continue"/>
                  <w:tcBorders>
                    <w:tl2br w:val="nil"/>
                    <w:tr2bl w:val="nil"/>
                  </w:tcBorders>
                  <w:shd w:val="clear" w:color="auto" w:fill="auto"/>
                  <w:noWrap/>
                  <w:vAlign w:val="center"/>
                </w:tcPr>
                <w:p w14:paraId="3254549F">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r w14:paraId="744C9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8" w:hRule="atLeast"/>
              </w:trPr>
              <w:tc>
                <w:tcPr>
                  <w:tcW w:w="627" w:type="pct"/>
                  <w:vMerge w:val="continue"/>
                  <w:tcBorders>
                    <w:tl2br w:val="nil"/>
                    <w:tr2bl w:val="nil"/>
                  </w:tcBorders>
                  <w:shd w:val="clear" w:color="auto" w:fill="auto"/>
                  <w:noWrap/>
                  <w:vAlign w:val="center"/>
                </w:tcPr>
                <w:p w14:paraId="4E50DAF2">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928" w:type="pct"/>
                  <w:tcBorders>
                    <w:tl2br w:val="nil"/>
                    <w:tr2bl w:val="nil"/>
                  </w:tcBorders>
                  <w:shd w:val="clear" w:color="auto" w:fill="auto"/>
                  <w:noWrap/>
                  <w:vAlign w:val="center"/>
                </w:tcPr>
                <w:p w14:paraId="2EE3A2C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分切机</w:t>
                  </w:r>
                </w:p>
              </w:tc>
              <w:tc>
                <w:tcPr>
                  <w:tcW w:w="586" w:type="pct"/>
                  <w:tcBorders>
                    <w:tl2br w:val="nil"/>
                    <w:tr2bl w:val="nil"/>
                  </w:tcBorders>
                  <w:shd w:val="clear" w:color="auto" w:fill="auto"/>
                  <w:noWrap/>
                  <w:vAlign w:val="center"/>
                </w:tcPr>
                <w:p w14:paraId="59BCE712">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1</w:t>
                  </w:r>
                </w:p>
              </w:tc>
              <w:tc>
                <w:tcPr>
                  <w:tcW w:w="1283" w:type="pct"/>
                  <w:tcBorders>
                    <w:tl2br w:val="nil"/>
                    <w:tr2bl w:val="nil"/>
                  </w:tcBorders>
                  <w:shd w:val="clear" w:color="auto" w:fill="auto"/>
                  <w:noWrap/>
                  <w:vAlign w:val="center"/>
                </w:tcPr>
                <w:p w14:paraId="147D0943">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r>
                    <w:rPr>
                      <w:rFonts w:hint="default" w:ascii="Times New Roman" w:hAnsi="Times New Roman" w:eastAsia="Arial" w:cs="Times New Roman"/>
                      <w:snapToGrid w:val="0"/>
                      <w:color w:val="auto"/>
                      <w:kern w:val="0"/>
                      <w:szCs w:val="21"/>
                      <w:highlight w:val="none"/>
                      <w:lang w:val="en-US" w:eastAsia="zh-CN" w:bidi="ar"/>
                    </w:rPr>
                    <w:t>2000普通型</w:t>
                  </w:r>
                </w:p>
              </w:tc>
              <w:tc>
                <w:tcPr>
                  <w:tcW w:w="991" w:type="pct"/>
                  <w:vMerge w:val="continue"/>
                  <w:tcBorders>
                    <w:tl2br w:val="nil"/>
                    <w:tr2bl w:val="nil"/>
                  </w:tcBorders>
                  <w:shd w:val="clear" w:color="auto" w:fill="auto"/>
                  <w:noWrap/>
                  <w:vAlign w:val="center"/>
                </w:tcPr>
                <w:p w14:paraId="21A04145">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c>
                <w:tcPr>
                  <w:tcW w:w="582" w:type="pct"/>
                  <w:vMerge w:val="continue"/>
                  <w:tcBorders>
                    <w:tl2br w:val="nil"/>
                    <w:tr2bl w:val="nil"/>
                  </w:tcBorders>
                  <w:shd w:val="clear" w:color="auto" w:fill="auto"/>
                  <w:noWrap/>
                  <w:vAlign w:val="center"/>
                </w:tcPr>
                <w:p w14:paraId="1577B9D6">
                  <w:pPr>
                    <w:widowControl/>
                    <w:kinsoku w:val="0"/>
                    <w:autoSpaceDE w:val="0"/>
                    <w:autoSpaceDN w:val="0"/>
                    <w:adjustRightInd w:val="0"/>
                    <w:snapToGrid w:val="0"/>
                    <w:spacing w:line="340" w:lineRule="exact"/>
                    <w:jc w:val="center"/>
                    <w:textAlignment w:val="center"/>
                    <w:rPr>
                      <w:rFonts w:hint="default" w:ascii="Times New Roman" w:hAnsi="Times New Roman" w:eastAsia="Arial" w:cs="Times New Roman"/>
                      <w:snapToGrid w:val="0"/>
                      <w:color w:val="auto"/>
                      <w:kern w:val="0"/>
                      <w:szCs w:val="21"/>
                      <w:highlight w:val="none"/>
                      <w:lang w:val="en-US" w:eastAsia="zh-CN" w:bidi="ar"/>
                    </w:rPr>
                  </w:pPr>
                </w:p>
              </w:tc>
            </w:tr>
          </w:tbl>
          <w:p w14:paraId="3D07D70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2.5.2 主要原辅材料</w:t>
            </w:r>
          </w:p>
          <w:p w14:paraId="05FA023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（1）主要原辅材料用量</w:t>
            </w:r>
          </w:p>
          <w:p w14:paraId="0FE08E2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cs="Times New Roman"/>
                <w:highlight w:val="none"/>
              </w:rPr>
            </w:pPr>
            <w:r>
              <w:rPr>
                <w:rFonts w:hint="default" w:ascii="Times New Roman" w:hAnsi="Times New Roman" w:eastAsia="宋体" w:cs="Times New Roman"/>
                <w:color w:val="000000"/>
                <w:kern w:val="0"/>
                <w:sz w:val="24"/>
                <w:szCs w:val="24"/>
                <w:highlight w:val="none"/>
                <w:lang w:val="en-US" w:eastAsia="zh-CN" w:bidi="ar"/>
              </w:rPr>
              <w:t>本项目主要原辅材料及能源年消耗量详见表2</w:t>
            </w:r>
            <w:r>
              <w:rPr>
                <w:rFonts w:hint="eastAsia" w:ascii="Times New Roman" w:hAnsi="Times New Roman" w:eastAsia="宋体" w:cs="Times New Roman"/>
                <w:color w:val="000000"/>
                <w:kern w:val="0"/>
                <w:sz w:val="24"/>
                <w:szCs w:val="24"/>
                <w:highlight w:val="none"/>
                <w:lang w:val="en-US" w:eastAsia="zh-CN" w:bidi="ar"/>
              </w:rPr>
              <w:t>.5-2</w:t>
            </w:r>
            <w:r>
              <w:rPr>
                <w:rFonts w:hint="default" w:ascii="Times New Roman" w:hAnsi="Times New Roman" w:eastAsia="宋体" w:cs="Times New Roman"/>
                <w:color w:val="000000"/>
                <w:kern w:val="0"/>
                <w:sz w:val="24"/>
                <w:szCs w:val="24"/>
                <w:highlight w:val="none"/>
                <w:lang w:val="en-US" w:eastAsia="zh-CN" w:bidi="ar"/>
              </w:rPr>
              <w:t>。</w:t>
            </w:r>
          </w:p>
          <w:p w14:paraId="78A91F76">
            <w:pPr>
              <w:spacing w:before="120" w:beforeLines="50"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表2</w:t>
            </w:r>
            <w:r>
              <w:rPr>
                <w:rFonts w:hint="eastAsia" w:ascii="Times New Roman" w:hAnsi="Times New Roman" w:eastAsia="宋体" w:cs="Times New Roman"/>
                <w:b/>
                <w:bCs/>
                <w:color w:val="auto"/>
                <w:sz w:val="24"/>
                <w:highlight w:val="none"/>
                <w:lang w:val="en-US" w:eastAsia="zh-CN"/>
              </w:rPr>
              <w:t>.5-2</w:t>
            </w:r>
            <w:r>
              <w:rPr>
                <w:rFonts w:hint="default" w:ascii="Times New Roman" w:hAnsi="Times New Roman" w:cs="Times New Roman"/>
                <w:b/>
                <w:bCs/>
                <w:color w:val="auto"/>
                <w:sz w:val="24"/>
                <w:highlight w:val="none"/>
              </w:rPr>
              <w:t xml:space="preserve"> 主要原辅材料用量及能耗一览表</w:t>
            </w:r>
          </w:p>
          <w:tbl>
            <w:tblPr>
              <w:tblStyle w:val="17"/>
              <w:tblW w:w="4998" w:type="pct"/>
              <w:tblInd w:w="0" w:type="dxa"/>
              <w:tblLayout w:type="fixed"/>
              <w:tblCellMar>
                <w:top w:w="0" w:type="dxa"/>
                <w:left w:w="108" w:type="dxa"/>
                <w:bottom w:w="0" w:type="dxa"/>
                <w:right w:w="108" w:type="dxa"/>
              </w:tblCellMar>
            </w:tblPr>
            <w:tblGrid>
              <w:gridCol w:w="793"/>
              <w:gridCol w:w="2792"/>
              <w:gridCol w:w="1085"/>
              <w:gridCol w:w="1586"/>
              <w:gridCol w:w="2117"/>
            </w:tblGrid>
            <w:tr w14:paraId="1B023CC5">
              <w:tblPrEx>
                <w:tblCellMar>
                  <w:top w:w="0" w:type="dxa"/>
                  <w:left w:w="108" w:type="dxa"/>
                  <w:bottom w:w="0" w:type="dxa"/>
                  <w:right w:w="108" w:type="dxa"/>
                </w:tblCellMar>
              </w:tblPrEx>
              <w:trPr>
                <w:trHeight w:val="285" w:hRule="atLeast"/>
              </w:trPr>
              <w:tc>
                <w:tcPr>
                  <w:tcW w:w="474" w:type="pct"/>
                  <w:tcBorders>
                    <w:top w:val="single" w:color="000000" w:sz="12" w:space="0"/>
                    <w:left w:val="nil"/>
                    <w:bottom w:val="single" w:color="000000" w:sz="8" w:space="0"/>
                    <w:right w:val="single" w:color="000000" w:sz="8" w:space="0"/>
                  </w:tcBorders>
                  <w:noWrap/>
                  <w:vAlign w:val="center"/>
                </w:tcPr>
                <w:p w14:paraId="636879F7">
                  <w:pPr>
                    <w:widowControl/>
                    <w:spacing w:line="340" w:lineRule="exact"/>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序号</w:t>
                  </w:r>
                </w:p>
              </w:tc>
              <w:tc>
                <w:tcPr>
                  <w:tcW w:w="1667" w:type="pct"/>
                  <w:tcBorders>
                    <w:top w:val="single" w:color="000000" w:sz="12" w:space="0"/>
                    <w:left w:val="single" w:color="000000" w:sz="8" w:space="0"/>
                    <w:bottom w:val="single" w:color="000000" w:sz="8" w:space="0"/>
                    <w:right w:val="single" w:color="000000" w:sz="8" w:space="0"/>
                  </w:tcBorders>
                  <w:noWrap/>
                  <w:vAlign w:val="center"/>
                </w:tcPr>
                <w:p w14:paraId="5D745405">
                  <w:pPr>
                    <w:widowControl/>
                    <w:spacing w:line="340" w:lineRule="exact"/>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原辅材料名称</w:t>
                  </w:r>
                </w:p>
              </w:tc>
              <w:tc>
                <w:tcPr>
                  <w:tcW w:w="648" w:type="pct"/>
                  <w:tcBorders>
                    <w:top w:val="single" w:color="000000" w:sz="12" w:space="0"/>
                    <w:left w:val="single" w:color="000000" w:sz="8" w:space="0"/>
                    <w:bottom w:val="single" w:color="000000" w:sz="8" w:space="0"/>
                    <w:right w:val="single" w:color="000000" w:sz="8" w:space="0"/>
                  </w:tcBorders>
                  <w:noWrap/>
                  <w:vAlign w:val="center"/>
                </w:tcPr>
                <w:p w14:paraId="0D316402">
                  <w:pPr>
                    <w:widowControl/>
                    <w:spacing w:line="340" w:lineRule="exact"/>
                    <w:jc w:val="center"/>
                    <w:textAlignment w:val="center"/>
                    <w:rPr>
                      <w:rFonts w:hint="default" w:ascii="Times New Roman" w:hAnsi="Times New Roman" w:cs="Times New Roman"/>
                      <w:b/>
                      <w:bCs/>
                      <w:color w:val="auto"/>
                      <w:kern w:val="0"/>
                      <w:szCs w:val="21"/>
                      <w:highlight w:val="none"/>
                      <w:lang w:bidi="ar"/>
                    </w:rPr>
                  </w:pPr>
                  <w:r>
                    <w:rPr>
                      <w:rFonts w:hint="default" w:ascii="Times New Roman" w:hAnsi="Times New Roman" w:cs="Times New Roman"/>
                      <w:b/>
                      <w:bCs/>
                      <w:color w:val="auto"/>
                      <w:kern w:val="0"/>
                      <w:szCs w:val="21"/>
                      <w:highlight w:val="none"/>
                      <w:lang w:bidi="ar"/>
                    </w:rPr>
                    <w:t>年用量</w:t>
                  </w:r>
                </w:p>
                <w:p w14:paraId="20E6DF1B">
                  <w:pPr>
                    <w:widowControl/>
                    <w:spacing w:line="340" w:lineRule="exact"/>
                    <w:jc w:val="center"/>
                    <w:textAlignment w:val="center"/>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kern w:val="0"/>
                      <w:szCs w:val="21"/>
                      <w:highlight w:val="none"/>
                      <w:lang w:eastAsia="zh-CN" w:bidi="ar"/>
                    </w:rPr>
                    <w:t>(</w:t>
                  </w:r>
                  <w:r>
                    <w:rPr>
                      <w:rFonts w:hint="eastAsia" w:ascii="Times New Roman" w:hAnsi="Times New Roman" w:eastAsia="宋体" w:cs="Times New Roman"/>
                      <w:b/>
                      <w:bCs/>
                      <w:color w:val="auto"/>
                      <w:kern w:val="0"/>
                      <w:szCs w:val="21"/>
                      <w:highlight w:val="none"/>
                      <w:lang w:val="en-US" w:eastAsia="zh-CN" w:bidi="ar"/>
                    </w:rPr>
                    <w:t>t/a)</w:t>
                  </w:r>
                </w:p>
              </w:tc>
              <w:tc>
                <w:tcPr>
                  <w:tcW w:w="947" w:type="pct"/>
                  <w:tcBorders>
                    <w:top w:val="single" w:color="000000" w:sz="12" w:space="0"/>
                    <w:left w:val="single" w:color="000000" w:sz="8" w:space="0"/>
                    <w:bottom w:val="single" w:color="000000" w:sz="8" w:space="0"/>
                    <w:right w:val="single" w:color="000000" w:sz="8" w:space="0"/>
                  </w:tcBorders>
                  <w:noWrap/>
                  <w:vAlign w:val="center"/>
                </w:tcPr>
                <w:p w14:paraId="6EC069B3">
                  <w:pPr>
                    <w:widowControl/>
                    <w:spacing w:line="340" w:lineRule="exact"/>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最大储存量</w:t>
                  </w:r>
                </w:p>
              </w:tc>
              <w:tc>
                <w:tcPr>
                  <w:tcW w:w="1262" w:type="pct"/>
                  <w:tcBorders>
                    <w:top w:val="single" w:color="000000" w:sz="12" w:space="0"/>
                    <w:left w:val="single" w:color="000000" w:sz="8" w:space="0"/>
                    <w:bottom w:val="single" w:color="000000" w:sz="8" w:space="0"/>
                    <w:right w:val="nil"/>
                  </w:tcBorders>
                  <w:noWrap/>
                  <w:vAlign w:val="center"/>
                </w:tcPr>
                <w:p w14:paraId="5C4A781B">
                  <w:pPr>
                    <w:widowControl/>
                    <w:spacing w:line="340" w:lineRule="exact"/>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储存位置</w:t>
                  </w:r>
                </w:p>
              </w:tc>
            </w:tr>
            <w:tr w14:paraId="57C6E37B">
              <w:tblPrEx>
                <w:tblCellMar>
                  <w:top w:w="0" w:type="dxa"/>
                  <w:left w:w="108" w:type="dxa"/>
                  <w:bottom w:w="0" w:type="dxa"/>
                  <w:right w:w="108" w:type="dxa"/>
                </w:tblCellMar>
              </w:tblPrEx>
              <w:trPr>
                <w:trHeight w:val="400" w:hRule="atLeast"/>
              </w:trPr>
              <w:tc>
                <w:tcPr>
                  <w:tcW w:w="5000" w:type="pct"/>
                  <w:gridSpan w:val="5"/>
                  <w:tcBorders>
                    <w:top w:val="single" w:color="000000" w:sz="8" w:space="0"/>
                    <w:left w:val="nil"/>
                    <w:bottom w:val="single" w:color="000000" w:sz="8" w:space="0"/>
                    <w:right w:val="nil"/>
                  </w:tcBorders>
                  <w:noWrap/>
                  <w:vAlign w:val="center"/>
                </w:tcPr>
                <w:p w14:paraId="09C82A18">
                  <w:pPr>
                    <w:widowControl/>
                    <w:spacing w:line="340" w:lineRule="exact"/>
                    <w:jc w:val="both"/>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充气床生产原料及用量</w:t>
                  </w:r>
                </w:p>
              </w:tc>
            </w:tr>
            <w:tr w14:paraId="4EAF84AE">
              <w:tblPrEx>
                <w:tblCellMar>
                  <w:top w:w="0" w:type="dxa"/>
                  <w:left w:w="108" w:type="dxa"/>
                  <w:bottom w:w="0" w:type="dxa"/>
                  <w:right w:w="108" w:type="dxa"/>
                </w:tblCellMar>
              </w:tblPrEx>
              <w:trPr>
                <w:trHeight w:val="400" w:hRule="atLeast"/>
              </w:trPr>
              <w:tc>
                <w:tcPr>
                  <w:tcW w:w="474" w:type="pct"/>
                  <w:tcBorders>
                    <w:top w:val="single" w:color="000000" w:sz="8" w:space="0"/>
                    <w:left w:val="nil"/>
                    <w:bottom w:val="single" w:color="000000" w:sz="8" w:space="0"/>
                    <w:right w:val="single" w:color="000000" w:sz="8" w:space="0"/>
                  </w:tcBorders>
                  <w:noWrap/>
                  <w:vAlign w:val="center"/>
                </w:tcPr>
                <w:p w14:paraId="6099A230">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1</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6F32438B">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bidi="ar"/>
                    </w:rPr>
                    <w:t>PVC膜</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14566FDF">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5C9C781E">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1262" w:type="pct"/>
                  <w:tcBorders>
                    <w:top w:val="single" w:color="000000" w:sz="8" w:space="0"/>
                    <w:left w:val="single" w:color="000000" w:sz="8" w:space="0"/>
                    <w:bottom w:val="single" w:color="000000" w:sz="8" w:space="0"/>
                    <w:right w:val="nil"/>
                  </w:tcBorders>
                  <w:noWrap/>
                  <w:vAlign w:val="center"/>
                </w:tcPr>
                <w:p w14:paraId="67B7D131">
                  <w:pPr>
                    <w:widowControl/>
                    <w:spacing w:line="340" w:lineRule="exact"/>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0A290800">
              <w:tblPrEx>
                <w:tblCellMar>
                  <w:top w:w="0" w:type="dxa"/>
                  <w:left w:w="108" w:type="dxa"/>
                  <w:bottom w:w="0" w:type="dxa"/>
                  <w:right w:w="108" w:type="dxa"/>
                </w:tblCellMar>
              </w:tblPrEx>
              <w:trPr>
                <w:trHeight w:val="400" w:hRule="atLeast"/>
              </w:trPr>
              <w:tc>
                <w:tcPr>
                  <w:tcW w:w="474" w:type="pct"/>
                  <w:tcBorders>
                    <w:top w:val="single" w:color="000000" w:sz="8" w:space="0"/>
                    <w:left w:val="nil"/>
                    <w:bottom w:val="single" w:color="000000" w:sz="8" w:space="0"/>
                    <w:right w:val="single" w:color="000000" w:sz="8" w:space="0"/>
                  </w:tcBorders>
                  <w:noWrap/>
                  <w:vAlign w:val="center"/>
                </w:tcPr>
                <w:p w14:paraId="37BB8AEF">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5EFA908F">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bidi="ar"/>
                    </w:rPr>
                    <w:t>TPU膜</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107F2A3F">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2F0AFBAF">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1262" w:type="pct"/>
                  <w:tcBorders>
                    <w:top w:val="single" w:color="000000" w:sz="8" w:space="0"/>
                    <w:left w:val="single" w:color="000000" w:sz="8" w:space="0"/>
                    <w:bottom w:val="single" w:color="000000" w:sz="8" w:space="0"/>
                    <w:right w:val="nil"/>
                  </w:tcBorders>
                  <w:noWrap/>
                  <w:vAlign w:val="center"/>
                </w:tcPr>
                <w:p w14:paraId="0D97A283">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3481F908">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noWrap/>
                  <w:vAlign w:val="center"/>
                </w:tcPr>
                <w:p w14:paraId="0BCF0376">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3</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4909E169">
                  <w:pPr>
                    <w:keepNext w:val="0"/>
                    <w:keepLines w:val="0"/>
                    <w:widowControl/>
                    <w:suppressLineNumbers w:val="0"/>
                    <w:jc w:val="center"/>
                    <w:rPr>
                      <w:rFonts w:hint="default" w:ascii="Times New Roman" w:hAnsi="Times New Roman" w:cs="Times New Roman"/>
                      <w:color w:val="auto"/>
                      <w:szCs w:val="21"/>
                      <w:highlight w:val="none"/>
                      <w:lang w:val="en-US"/>
                    </w:rPr>
                  </w:pPr>
                  <w:r>
                    <w:rPr>
                      <w:rFonts w:hint="eastAsia" w:ascii="Times New Roman" w:hAnsi="Times New Roman" w:cs="Times New Roman"/>
                      <w:color w:val="auto"/>
                      <w:kern w:val="0"/>
                      <w:szCs w:val="21"/>
                      <w:highlight w:val="none"/>
                      <w:lang w:val="en-US" w:eastAsia="zh-CN" w:bidi="ar"/>
                    </w:rPr>
                    <w:t>植绒料</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0D1FE5BD">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6D9E5327">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1262" w:type="pct"/>
                  <w:tcBorders>
                    <w:top w:val="single" w:color="000000" w:sz="8" w:space="0"/>
                    <w:left w:val="single" w:color="000000" w:sz="8" w:space="0"/>
                    <w:bottom w:val="single" w:color="000000" w:sz="8" w:space="0"/>
                    <w:right w:val="nil"/>
                  </w:tcBorders>
                  <w:noWrap/>
                  <w:vAlign w:val="center"/>
                </w:tcPr>
                <w:p w14:paraId="29927D16">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36C49C6D">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noWrap/>
                  <w:vAlign w:val="center"/>
                </w:tcPr>
                <w:p w14:paraId="45B1E21D">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4</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75BEE2AE">
                  <w:pPr>
                    <w:widowControl/>
                    <w:spacing w:line="340" w:lineRule="exact"/>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气嘴（万个/a）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1C11FAB9">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3A321C32">
                  <w:pPr>
                    <w:widowControl/>
                    <w:spacing w:line="340" w:lineRule="exact"/>
                    <w:jc w:val="center"/>
                    <w:textAlignment w:val="center"/>
                    <w:rPr>
                      <w:rFonts w:hint="eastAsia" w:ascii="Times New Roman" w:hAnsi="Times New Roman" w:eastAsia="宋体" w:cs="Times New Roman"/>
                      <w:color w:val="auto"/>
                      <w:szCs w:val="21"/>
                      <w:highlight w:val="none"/>
                      <w:lang w:eastAsia="zh-CN"/>
                    </w:rPr>
                  </w:pPr>
                </w:p>
              </w:tc>
              <w:tc>
                <w:tcPr>
                  <w:tcW w:w="1262" w:type="pct"/>
                  <w:tcBorders>
                    <w:top w:val="single" w:color="000000" w:sz="8" w:space="0"/>
                    <w:left w:val="single" w:color="000000" w:sz="8" w:space="0"/>
                    <w:bottom w:val="single" w:color="000000" w:sz="8" w:space="0"/>
                    <w:right w:val="nil"/>
                  </w:tcBorders>
                  <w:noWrap/>
                  <w:vAlign w:val="center"/>
                </w:tcPr>
                <w:p w14:paraId="2823ED5D">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1159A861">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69CB1CA3">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5</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557E7273">
                  <w:pPr>
                    <w:widowControl/>
                    <w:spacing w:line="340" w:lineRule="exact"/>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PVC拉丝料</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187E5061">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4642062E">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p>
              </w:tc>
              <w:tc>
                <w:tcPr>
                  <w:tcW w:w="2163" w:type="dxa"/>
                  <w:tcBorders>
                    <w:top w:val="single" w:color="000000" w:sz="8" w:space="0"/>
                    <w:left w:val="single" w:color="000000" w:sz="8" w:space="0"/>
                    <w:bottom w:val="single" w:color="000000" w:sz="8" w:space="0"/>
                    <w:right w:val="nil"/>
                  </w:tcBorders>
                  <w:noWrap/>
                  <w:vAlign w:val="center"/>
                </w:tcPr>
                <w:p w14:paraId="565584F1">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6FE4F448">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2F98F41F">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6</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2D1CEE9C">
                  <w:pPr>
                    <w:widowControl/>
                    <w:spacing w:line="340" w:lineRule="exact"/>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PVC夹网料</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7038B526">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7863310D">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p>
              </w:tc>
              <w:tc>
                <w:tcPr>
                  <w:tcW w:w="2163" w:type="dxa"/>
                  <w:tcBorders>
                    <w:top w:val="single" w:color="000000" w:sz="8" w:space="0"/>
                    <w:left w:val="single" w:color="000000" w:sz="8" w:space="0"/>
                    <w:bottom w:val="single" w:color="000000" w:sz="8" w:space="0"/>
                    <w:right w:val="nil"/>
                  </w:tcBorders>
                  <w:noWrap/>
                  <w:vAlign w:val="center"/>
                </w:tcPr>
                <w:p w14:paraId="07356C8E">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2919648C">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763166A0">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7</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4F7F8B27">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溶剂油墨</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3CFFCABB">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73168DBA">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p>
              </w:tc>
              <w:tc>
                <w:tcPr>
                  <w:tcW w:w="1262" w:type="pct"/>
                  <w:tcBorders>
                    <w:top w:val="single" w:color="000000" w:sz="8" w:space="0"/>
                    <w:left w:val="single" w:color="000000" w:sz="8" w:space="0"/>
                    <w:bottom w:val="single" w:color="000000" w:sz="8" w:space="0"/>
                    <w:right w:val="nil"/>
                  </w:tcBorders>
                  <w:noWrap/>
                  <w:vAlign w:val="center"/>
                </w:tcPr>
                <w:p w14:paraId="6A9F6E2D">
                  <w:pPr>
                    <w:widowControl/>
                    <w:spacing w:line="340" w:lineRule="exact"/>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专用化学品仓库</w:t>
                  </w:r>
                </w:p>
              </w:tc>
            </w:tr>
            <w:tr w14:paraId="2BD31DF8">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172AD14A">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snapToGrid w:val="0"/>
                      <w:color w:val="auto"/>
                      <w:kern w:val="0"/>
                      <w:sz w:val="21"/>
                      <w:szCs w:val="21"/>
                      <w:highlight w:val="none"/>
                      <w:lang w:val="en-US" w:eastAsia="zh-CN" w:bidi="ar"/>
                    </w:rPr>
                    <w:t>8</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65AD7B71">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UV油墨</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33FCF68A">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3C8AB372">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p>
              </w:tc>
              <w:tc>
                <w:tcPr>
                  <w:tcW w:w="1262" w:type="pct"/>
                  <w:tcBorders>
                    <w:top w:val="single" w:color="000000" w:sz="8" w:space="0"/>
                    <w:left w:val="single" w:color="000000" w:sz="8" w:space="0"/>
                    <w:bottom w:val="single" w:color="000000" w:sz="8" w:space="0"/>
                    <w:right w:val="nil"/>
                  </w:tcBorders>
                  <w:noWrap/>
                  <w:vAlign w:val="center"/>
                </w:tcPr>
                <w:p w14:paraId="158B48BB">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专用化学品仓库</w:t>
                  </w:r>
                </w:p>
              </w:tc>
            </w:tr>
            <w:tr w14:paraId="2624F463">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noWrap/>
                  <w:vAlign w:val="center"/>
                </w:tcPr>
                <w:p w14:paraId="49EF8F84">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9</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4E29DEB1">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清洗剂</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7F1B104F">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noWrap/>
                  <w:vAlign w:val="center"/>
                </w:tcPr>
                <w:p w14:paraId="7230CB14">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p>
              </w:tc>
              <w:tc>
                <w:tcPr>
                  <w:tcW w:w="1262" w:type="pct"/>
                  <w:tcBorders>
                    <w:top w:val="single" w:color="000000" w:sz="8" w:space="0"/>
                    <w:left w:val="single" w:color="000000" w:sz="8" w:space="0"/>
                    <w:bottom w:val="single" w:color="000000" w:sz="8" w:space="0"/>
                    <w:right w:val="nil"/>
                  </w:tcBorders>
                  <w:noWrap/>
                  <w:vAlign w:val="center"/>
                </w:tcPr>
                <w:p w14:paraId="21B7EE61">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专用化学品仓库</w:t>
                  </w:r>
                </w:p>
              </w:tc>
            </w:tr>
            <w:tr w14:paraId="1CBF5F97">
              <w:tblPrEx>
                <w:tblCellMar>
                  <w:top w:w="0" w:type="dxa"/>
                  <w:left w:w="108" w:type="dxa"/>
                  <w:bottom w:w="0" w:type="dxa"/>
                  <w:right w:w="108" w:type="dxa"/>
                </w:tblCellMar>
              </w:tblPrEx>
              <w:trPr>
                <w:trHeight w:val="430" w:hRule="atLeast"/>
              </w:trPr>
              <w:tc>
                <w:tcPr>
                  <w:tcW w:w="5000" w:type="pct"/>
                  <w:gridSpan w:val="5"/>
                  <w:tcBorders>
                    <w:top w:val="single" w:color="000000" w:sz="8" w:space="0"/>
                    <w:left w:val="nil"/>
                    <w:bottom w:val="single" w:color="000000" w:sz="8" w:space="0"/>
                    <w:right w:val="nil"/>
                  </w:tcBorders>
                  <w:noWrap/>
                  <w:vAlign w:val="center"/>
                </w:tcPr>
                <w:p w14:paraId="1B5F3440">
                  <w:pPr>
                    <w:widowControl/>
                    <w:spacing w:line="340" w:lineRule="exact"/>
                    <w:jc w:val="both"/>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露营垫生产原料及用量</w:t>
                  </w:r>
                </w:p>
              </w:tc>
            </w:tr>
            <w:tr w14:paraId="55E97166">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2B4C2586">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1</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23C3D85B">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TPU贴布（万平/a）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3BCBF2CA">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A13378">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2D7314C6">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1DCAE8AB">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7CA66A3D">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2</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1F04C3EC">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TPU膜</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59856759">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A208B6">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51058E66">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7C707325">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55A1F36A">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3</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213A7982">
                  <w:pPr>
                    <w:widowControl/>
                    <w:spacing w:line="340" w:lineRule="exact"/>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气嘴（万个/a）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1081C651">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363763">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23B9871A">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09D176D4">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2BDA5736">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4</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66EDE20D">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海绵（立方/a）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5AEF21DA">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918CB5">
                  <w:pPr>
                    <w:widowControl/>
                    <w:spacing w:line="340" w:lineRule="exact"/>
                    <w:jc w:val="center"/>
                    <w:textAlignment w:val="center"/>
                    <w:rPr>
                      <w:rFonts w:hint="default" w:ascii="Times New Roman" w:hAnsi="Times New Roman" w:eastAsia="宋体" w:cs="Times New Roman"/>
                      <w:color w:val="auto"/>
                      <w:kern w:val="0"/>
                      <w:szCs w:val="21"/>
                      <w:highlight w:val="none"/>
                      <w:lang w:val="en-US" w:eastAsia="zh-CN" w:bidi="ar"/>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63FE3CF6">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7530068D">
              <w:tblPrEx>
                <w:tblCellMar>
                  <w:top w:w="0" w:type="dxa"/>
                  <w:left w:w="108" w:type="dxa"/>
                  <w:bottom w:w="0" w:type="dxa"/>
                  <w:right w:w="108" w:type="dxa"/>
                </w:tblCellMar>
              </w:tblPrEx>
              <w:trPr>
                <w:trHeight w:val="430" w:hRule="atLeast"/>
              </w:trPr>
              <w:tc>
                <w:tcPr>
                  <w:tcW w:w="5000" w:type="pct"/>
                  <w:gridSpan w:val="5"/>
                  <w:tcBorders>
                    <w:top w:val="single" w:color="000000" w:sz="8" w:space="0"/>
                    <w:left w:val="nil"/>
                    <w:bottom w:val="single" w:color="000000" w:sz="8" w:space="0"/>
                    <w:right w:val="nil"/>
                  </w:tcBorders>
                  <w:noWrap/>
                  <w:vAlign w:val="center"/>
                </w:tcPr>
                <w:p w14:paraId="2EE8294C">
                  <w:pPr>
                    <w:widowControl/>
                    <w:spacing w:line="340" w:lineRule="exact"/>
                    <w:jc w:val="both"/>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箱包生产原料及用量</w:t>
                  </w:r>
                </w:p>
              </w:tc>
            </w:tr>
            <w:tr w14:paraId="3F61B141">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370DE5DD">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1</w:t>
                  </w:r>
                </w:p>
              </w:tc>
              <w:tc>
                <w:tcPr>
                  <w:tcW w:w="16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3A7128">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Cs w:val="21"/>
                      <w:highlight w:val="none"/>
                      <w:lang w:val="en-US" w:eastAsia="zh-CN"/>
                    </w:rPr>
                    <w:t>TPU夹网布（万平/a）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60ADBEBE">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16CDE7">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220A539D">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1DDF0E18">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3241483C">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2</w:t>
                  </w:r>
                </w:p>
              </w:tc>
              <w:tc>
                <w:tcPr>
                  <w:tcW w:w="16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6C2062">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Cs w:val="21"/>
                      <w:highlight w:val="none"/>
                      <w:lang w:val="en-US" w:eastAsia="zh-CN"/>
                    </w:rPr>
                    <w:t>织带（万米/a）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6FC0266E">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4EC260">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2812C3BA">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48BEF2D8">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077108C0">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3</w:t>
                  </w:r>
                </w:p>
              </w:tc>
              <w:tc>
                <w:tcPr>
                  <w:tcW w:w="16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029EFD">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Cs w:val="21"/>
                      <w:highlight w:val="none"/>
                      <w:lang w:val="en-US" w:eastAsia="zh-CN"/>
                    </w:rPr>
                    <w:t>扣具（万个/a）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60F140EA">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44529D">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42DB22B2">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5670C009">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shd w:val="clear" w:color="auto" w:fill="auto"/>
                  <w:noWrap/>
                  <w:vAlign w:val="center"/>
                </w:tcPr>
                <w:p w14:paraId="537C4982">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4</w:t>
                  </w:r>
                </w:p>
              </w:tc>
              <w:tc>
                <w:tcPr>
                  <w:tcW w:w="16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0C8FBB">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Cs w:val="21"/>
                      <w:highlight w:val="none"/>
                      <w:lang w:val="en-US" w:eastAsia="zh-CN"/>
                    </w:rPr>
                    <w:t>拉链（万米/a）</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74988F09">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94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81B7F0">
                  <w:pPr>
                    <w:widowControl/>
                    <w:spacing w:line="340" w:lineRule="exact"/>
                    <w:jc w:val="center"/>
                    <w:textAlignment w:val="center"/>
                    <w:rPr>
                      <w:rFonts w:hint="eastAsia" w:ascii="Times New Roman" w:hAnsi="Times New Roman" w:eastAsia="宋体" w:cs="Times New Roman"/>
                      <w:snapToGrid w:val="0"/>
                      <w:color w:val="auto"/>
                      <w:kern w:val="0"/>
                      <w:sz w:val="21"/>
                      <w:szCs w:val="21"/>
                      <w:highlight w:val="none"/>
                      <w:lang w:eastAsia="zh-CN"/>
                    </w:rPr>
                  </w:pPr>
                </w:p>
              </w:tc>
              <w:tc>
                <w:tcPr>
                  <w:tcW w:w="1262" w:type="pct"/>
                  <w:tcBorders>
                    <w:top w:val="single" w:color="000000" w:sz="8" w:space="0"/>
                    <w:left w:val="single" w:color="000000" w:sz="8" w:space="0"/>
                    <w:bottom w:val="single" w:color="000000" w:sz="8" w:space="0"/>
                    <w:right w:val="nil"/>
                  </w:tcBorders>
                  <w:shd w:val="clear" w:color="auto" w:fill="auto"/>
                  <w:noWrap/>
                  <w:vAlign w:val="center"/>
                </w:tcPr>
                <w:p w14:paraId="07C563E4">
                  <w:pPr>
                    <w:widowControl/>
                    <w:spacing w:line="340" w:lineRule="exact"/>
                    <w:jc w:val="center"/>
                    <w:textAlignment w:val="center"/>
                    <w:rPr>
                      <w:rFonts w:hint="eastAsia" w:ascii="Times New Roman" w:hAnsi="Times New Roman" w:eastAsia="Arial" w:cs="Times New Roman"/>
                      <w:snapToGrid w:val="0"/>
                      <w:color w:val="auto"/>
                      <w:kern w:val="0"/>
                      <w:sz w:val="21"/>
                      <w:szCs w:val="21"/>
                      <w:highlight w:val="none"/>
                      <w:lang w:val="en-US" w:eastAsia="zh-CN"/>
                    </w:rPr>
                  </w:pPr>
                  <w:r>
                    <w:rPr>
                      <w:rFonts w:hint="default" w:ascii="Times New Roman" w:hAnsi="Times New Roman" w:cs="Times New Roman"/>
                      <w:color w:val="auto"/>
                      <w:kern w:val="0"/>
                      <w:szCs w:val="21"/>
                      <w:highlight w:val="none"/>
                      <w:lang w:bidi="ar"/>
                    </w:rPr>
                    <w:t>原料</w:t>
                  </w:r>
                  <w:r>
                    <w:rPr>
                      <w:rFonts w:hint="eastAsia" w:ascii="Times New Roman" w:hAnsi="Times New Roman" w:eastAsia="宋体" w:cs="Times New Roman"/>
                      <w:color w:val="auto"/>
                      <w:kern w:val="0"/>
                      <w:szCs w:val="21"/>
                      <w:highlight w:val="none"/>
                      <w:lang w:val="en-US" w:eastAsia="zh-CN" w:bidi="ar"/>
                    </w:rPr>
                    <w:t>仓</w:t>
                  </w:r>
                </w:p>
              </w:tc>
            </w:tr>
            <w:tr w14:paraId="2DBA8BA9">
              <w:tblPrEx>
                <w:tblCellMar>
                  <w:top w:w="0" w:type="dxa"/>
                  <w:left w:w="108" w:type="dxa"/>
                  <w:bottom w:w="0" w:type="dxa"/>
                  <w:right w:w="108" w:type="dxa"/>
                </w:tblCellMar>
              </w:tblPrEx>
              <w:trPr>
                <w:trHeight w:val="430" w:hRule="atLeast"/>
              </w:trPr>
              <w:tc>
                <w:tcPr>
                  <w:tcW w:w="5000" w:type="pct"/>
                  <w:gridSpan w:val="5"/>
                  <w:tcBorders>
                    <w:top w:val="single" w:color="000000" w:sz="8" w:space="0"/>
                    <w:left w:val="nil"/>
                    <w:bottom w:val="single" w:color="000000" w:sz="8" w:space="0"/>
                    <w:right w:val="nil"/>
                  </w:tcBorders>
                  <w:noWrap/>
                  <w:vAlign w:val="center"/>
                </w:tcPr>
                <w:p w14:paraId="3F8D37C2">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主要能源及消耗</w:t>
                  </w:r>
                </w:p>
              </w:tc>
            </w:tr>
            <w:tr w14:paraId="31EC8D9E">
              <w:tblPrEx>
                <w:tblCellMar>
                  <w:top w:w="0" w:type="dxa"/>
                  <w:left w:w="108" w:type="dxa"/>
                  <w:bottom w:w="0" w:type="dxa"/>
                  <w:right w:w="108" w:type="dxa"/>
                </w:tblCellMar>
              </w:tblPrEx>
              <w:trPr>
                <w:trHeight w:val="90" w:hRule="atLeast"/>
              </w:trPr>
              <w:tc>
                <w:tcPr>
                  <w:tcW w:w="474" w:type="pct"/>
                  <w:tcBorders>
                    <w:top w:val="single" w:color="000000" w:sz="8" w:space="0"/>
                    <w:left w:val="nil"/>
                    <w:bottom w:val="single" w:color="000000" w:sz="8" w:space="0"/>
                    <w:right w:val="single" w:color="000000" w:sz="8" w:space="0"/>
                  </w:tcBorders>
                  <w:noWrap/>
                  <w:vAlign w:val="center"/>
                </w:tcPr>
                <w:p w14:paraId="7A2C5AA7">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14</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7BC23936">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水</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05DD9AAD">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2209" w:type="pct"/>
                  <w:gridSpan w:val="2"/>
                  <w:tcBorders>
                    <w:top w:val="single" w:color="000000" w:sz="8" w:space="0"/>
                    <w:left w:val="single" w:color="000000" w:sz="8" w:space="0"/>
                    <w:bottom w:val="single" w:color="000000" w:sz="8" w:space="0"/>
                    <w:right w:val="single" w:color="000000" w:sz="8" w:space="0"/>
                  </w:tcBorders>
                  <w:noWrap/>
                  <w:vAlign w:val="center"/>
                </w:tcPr>
                <w:p w14:paraId="64A058A3">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市政供水</w:t>
                  </w:r>
                </w:p>
              </w:tc>
            </w:tr>
            <w:tr w14:paraId="3F534316">
              <w:tblPrEx>
                <w:tblCellMar>
                  <w:top w:w="0" w:type="dxa"/>
                  <w:left w:w="108" w:type="dxa"/>
                  <w:bottom w:w="0" w:type="dxa"/>
                  <w:right w:w="108" w:type="dxa"/>
                </w:tblCellMar>
              </w:tblPrEx>
              <w:trPr>
                <w:trHeight w:val="430" w:hRule="atLeast"/>
              </w:trPr>
              <w:tc>
                <w:tcPr>
                  <w:tcW w:w="474" w:type="pct"/>
                  <w:tcBorders>
                    <w:top w:val="single" w:color="000000" w:sz="8" w:space="0"/>
                    <w:left w:val="nil"/>
                    <w:bottom w:val="single" w:color="000000" w:sz="8" w:space="0"/>
                    <w:right w:val="single" w:color="000000" w:sz="8" w:space="0"/>
                  </w:tcBorders>
                  <w:noWrap/>
                  <w:vAlign w:val="center"/>
                </w:tcPr>
                <w:p w14:paraId="671B256E">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15</w:t>
                  </w:r>
                </w:p>
              </w:tc>
              <w:tc>
                <w:tcPr>
                  <w:tcW w:w="1667" w:type="pct"/>
                  <w:tcBorders>
                    <w:top w:val="single" w:color="000000" w:sz="8" w:space="0"/>
                    <w:left w:val="single" w:color="000000" w:sz="8" w:space="0"/>
                    <w:bottom w:val="single" w:color="000000" w:sz="8" w:space="0"/>
                    <w:right w:val="single" w:color="000000" w:sz="8" w:space="0"/>
                  </w:tcBorders>
                  <w:noWrap/>
                  <w:vAlign w:val="center"/>
                </w:tcPr>
                <w:p w14:paraId="0F8D890C">
                  <w:pPr>
                    <w:widowControl/>
                    <w:spacing w:line="340" w:lineRule="exact"/>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电</w:t>
                  </w:r>
                </w:p>
              </w:tc>
              <w:tc>
                <w:tcPr>
                  <w:tcW w:w="648" w:type="pct"/>
                  <w:tcBorders>
                    <w:top w:val="single" w:color="000000" w:sz="8" w:space="0"/>
                    <w:left w:val="single" w:color="000000" w:sz="8" w:space="0"/>
                    <w:bottom w:val="single" w:color="000000" w:sz="8" w:space="0"/>
                    <w:right w:val="single" w:color="000000" w:sz="8" w:space="0"/>
                  </w:tcBorders>
                  <w:noWrap/>
                  <w:vAlign w:val="center"/>
                </w:tcPr>
                <w:p w14:paraId="5AE03561">
                  <w:pPr>
                    <w:widowControl/>
                    <w:spacing w:line="340" w:lineRule="exact"/>
                    <w:jc w:val="center"/>
                    <w:textAlignment w:val="center"/>
                    <w:rPr>
                      <w:rFonts w:hint="default" w:ascii="Times New Roman" w:hAnsi="Times New Roman" w:eastAsia="宋体" w:cs="Times New Roman"/>
                      <w:color w:val="auto"/>
                      <w:szCs w:val="21"/>
                      <w:highlight w:val="none"/>
                      <w:lang w:val="en-US" w:eastAsia="zh-CN"/>
                    </w:rPr>
                  </w:pPr>
                </w:p>
              </w:tc>
              <w:tc>
                <w:tcPr>
                  <w:tcW w:w="2209" w:type="pct"/>
                  <w:gridSpan w:val="2"/>
                  <w:tcBorders>
                    <w:top w:val="single" w:color="000000" w:sz="8" w:space="0"/>
                    <w:left w:val="single" w:color="000000" w:sz="8" w:space="0"/>
                    <w:bottom w:val="single" w:color="000000" w:sz="8" w:space="0"/>
                    <w:right w:val="single" w:color="000000" w:sz="8" w:space="0"/>
                  </w:tcBorders>
                  <w:noWrap/>
                  <w:vAlign w:val="center"/>
                </w:tcPr>
                <w:p w14:paraId="759B2A6C">
                  <w:pPr>
                    <w:widowControl/>
                    <w:spacing w:line="340" w:lineRule="exact"/>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国家电网</w:t>
                  </w:r>
                </w:p>
              </w:tc>
            </w:tr>
          </w:tbl>
          <w:p w14:paraId="6512DE53">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原辅材料的理化性质</w:t>
            </w:r>
          </w:p>
          <w:p w14:paraId="0FC07DFE">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PVC膜：PVC膜主要由PVC树脂、增塑剂、稳定剂、润滑剂等功能性加工助剂组成。增塑剂的加入可以使PVC膜变得更加柔软，而未增塑的PVC膜则更加坚硬。PVC膜具有优良的拉伸强度和弹性模量，能够形成复杂的曲面造型，且自重较轻。且PVC膜能够滤除大部分紫外线，防止内部物品褪色，对自然光的透射率可达25%，具有良好的显色性。PVC膜材具有很好的自洁性能，雨水会在其表面聚成水珠流下，使膜材表面得到自然清洗。同时，PVC膜具有良好的静音效果，防火等级为Bl级，属难燃材料，保温性能与砖墙相同。PVC膜的分解温度在130℃左右，本项目利用高频机压合成型，工作温度控制在60℃左右，未达到分解温度。</w:t>
            </w:r>
          </w:p>
          <w:p w14:paraId="1BB9F235">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TPU膜：TPU膜，全称为热塑性聚氨酯膜，是一种高性能的塑料膜材料。TPU膜是在TPU颗粒料的基础上，通过压延、流延、吹膜、涂覆等工艺制成薄膜。TPU膜具有多种优良性能，包括高弹性、耐磨、耐黄变、耐油、耐酸、耐翘曲、防霉、抗菌、抗静电等。此外，它还具有良好的延展性、耐寒性、耐老化性和透气性。TPU膜作为一种环保材料，具有可回收和可降解的特性，符合现代社会对环保和可持续发展的要求。</w:t>
            </w:r>
          </w:p>
          <w:p w14:paraId="47BB0C2E">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植绒料：植绒料，即植绒面料，是一种通过在各种布料底布上植上尼龙绒毛或黏胶绒毛，并经过烘蒸和水洗等工艺处理而形成的面料。植绒面料具有良好的保温防潮性能，触感舒适，且不脱绒、耐摩擦，无毒无味，安全性高，易于保持清洁。</w:t>
            </w:r>
          </w:p>
          <w:p w14:paraId="4BB3B980">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海绵：本项目所用海绵为聚氨酯记忆海绵，是一种具有慢回弹、温敏效应、隔音隔震等优异性能的特殊海绵。根据建设方提供的检测材料，本项目所用海绵符合EN ISO 17050-1标准的OEKO-TEX，属于能够直接接触皮肤类产品（附件7）。</w:t>
            </w:r>
          </w:p>
          <w:p w14:paraId="41DCAA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highlight w:val="none"/>
                <w:lang w:val="en-US" w:eastAsia="zh-CN"/>
              </w:rPr>
            </w:pPr>
            <w:r>
              <w:rPr>
                <w:rFonts w:hint="eastAsia" w:ascii="Times New Roman" w:hAnsi="Times New Roman" w:cs="Times New Roman"/>
                <w:sz w:val="24"/>
                <w:szCs w:val="24"/>
                <w:highlight w:val="none"/>
                <w:lang w:val="en-US" w:eastAsia="zh-CN"/>
              </w:rPr>
              <w:t>E.溶剂油墨、UV油墨及清洗剂：</w:t>
            </w:r>
            <w:r>
              <w:rPr>
                <w:rFonts w:hint="default" w:ascii="Times New Roman" w:hAnsi="Times New Roman" w:cs="Times New Roman"/>
                <w:sz w:val="24"/>
                <w:szCs w:val="24"/>
                <w:highlight w:val="none"/>
                <w:lang w:val="en-US" w:eastAsia="zh-CN"/>
              </w:rPr>
              <w:t>根据建设单位提供的</w:t>
            </w:r>
            <w:r>
              <w:rPr>
                <w:rFonts w:hint="eastAsia" w:ascii="Times New Roman" w:hAnsi="Times New Roman" w:cs="Times New Roman"/>
                <w:sz w:val="24"/>
                <w:szCs w:val="24"/>
                <w:highlight w:val="none"/>
                <w:lang w:val="en-US" w:eastAsia="zh-CN"/>
              </w:rPr>
              <w:t>溶剂油墨、UV油墨及清洗剂</w:t>
            </w:r>
            <w:r>
              <w:rPr>
                <w:rFonts w:hint="default" w:ascii="Times New Roman" w:hAnsi="Times New Roman" w:cs="Times New Roman"/>
                <w:sz w:val="24"/>
                <w:szCs w:val="24"/>
                <w:highlight w:val="none"/>
                <w:lang w:val="en-US" w:eastAsia="zh-CN"/>
              </w:rPr>
              <w:t>性能资料</w:t>
            </w:r>
            <w:r>
              <w:rPr>
                <w:rFonts w:hint="eastAsia" w:ascii="Times New Roman" w:hAnsi="Times New Roman" w:cs="Times New Roman"/>
                <w:sz w:val="24"/>
                <w:szCs w:val="24"/>
                <w:highlight w:val="none"/>
                <w:lang w:val="en-US" w:eastAsia="zh-CN"/>
              </w:rPr>
              <w:t>（MSDS见附件8）</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其成分和</w:t>
            </w:r>
            <w:r>
              <w:rPr>
                <w:rFonts w:hint="default" w:ascii="Times New Roman" w:hAnsi="Times New Roman" w:cs="Times New Roman"/>
                <w:sz w:val="24"/>
                <w:szCs w:val="24"/>
                <w:highlight w:val="none"/>
                <w:lang w:val="en-US" w:eastAsia="zh-CN"/>
              </w:rPr>
              <w:t>理化性质见表2</w:t>
            </w:r>
            <w:r>
              <w:rPr>
                <w:rFonts w:hint="eastAsia" w:ascii="Times New Roman" w:hAnsi="Times New Roman" w:cs="Times New Roman"/>
                <w:sz w:val="24"/>
                <w:szCs w:val="24"/>
                <w:highlight w:val="none"/>
                <w:lang w:val="en-US" w:eastAsia="zh-CN"/>
              </w:rPr>
              <w:t>.5-3</w:t>
            </w:r>
            <w:r>
              <w:rPr>
                <w:rFonts w:hint="default" w:ascii="Times New Roman" w:hAnsi="Times New Roman" w:cs="Times New Roman"/>
                <w:sz w:val="24"/>
                <w:szCs w:val="24"/>
                <w:highlight w:val="none"/>
                <w:lang w:val="en-US" w:eastAsia="zh-CN"/>
              </w:rPr>
              <w:t>。</w:t>
            </w:r>
          </w:p>
          <w:p w14:paraId="1BC4DDAA">
            <w:pPr>
              <w:snapToGrid w:val="0"/>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.5-3 油墨</w:t>
            </w:r>
            <w:r>
              <w:rPr>
                <w:rFonts w:hint="default" w:ascii="Times New Roman" w:hAnsi="Times New Roman" w:cs="Times New Roman"/>
                <w:b/>
                <w:color w:val="auto"/>
                <w:sz w:val="24"/>
                <w:highlight w:val="none"/>
              </w:rPr>
              <w:t>成分及理化性质一览表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55"/>
              <w:gridCol w:w="2525"/>
              <w:gridCol w:w="2525"/>
              <w:gridCol w:w="1570"/>
              <w:gridCol w:w="1098"/>
            </w:tblGrid>
            <w:tr w14:paraId="2AEDA5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4" w:hRule="atLeast"/>
                <w:tblHeader/>
                <w:jc w:val="center"/>
              </w:trPr>
              <w:tc>
                <w:tcPr>
                  <w:tcW w:w="391" w:type="pct"/>
                  <w:tcBorders>
                    <w:right w:val="single" w:color="auto" w:sz="4" w:space="0"/>
                  </w:tcBorders>
                  <w:noWrap w:val="0"/>
                  <w:vAlign w:val="center"/>
                </w:tcPr>
                <w:p w14:paraId="28088BAC">
                  <w:pPr>
                    <w:spacing w:line="3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物质</w:t>
                  </w:r>
                </w:p>
              </w:tc>
              <w:tc>
                <w:tcPr>
                  <w:tcW w:w="1507" w:type="pct"/>
                  <w:tcBorders>
                    <w:left w:val="single" w:color="auto" w:sz="4" w:space="0"/>
                    <w:right w:val="single" w:color="auto" w:sz="4" w:space="0"/>
                  </w:tcBorders>
                  <w:noWrap w:val="0"/>
                  <w:vAlign w:val="center"/>
                </w:tcPr>
                <w:p w14:paraId="37104758">
                  <w:pPr>
                    <w:spacing w:line="340" w:lineRule="exact"/>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理化性质</w:t>
                  </w:r>
                </w:p>
              </w:tc>
              <w:tc>
                <w:tcPr>
                  <w:tcW w:w="1507" w:type="pct"/>
                  <w:tcBorders>
                    <w:left w:val="single" w:color="auto" w:sz="4" w:space="0"/>
                  </w:tcBorders>
                  <w:noWrap w:val="0"/>
                  <w:vAlign w:val="center"/>
                </w:tcPr>
                <w:p w14:paraId="645BCD28">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rPr>
                    <w:t>危险性</w:t>
                  </w:r>
                  <w:r>
                    <w:rPr>
                      <w:rFonts w:hint="default" w:ascii="Times New Roman" w:hAnsi="Times New Roman" w:cs="Times New Roman"/>
                      <w:b/>
                      <w:bCs/>
                      <w:color w:val="auto"/>
                      <w:szCs w:val="21"/>
                      <w:highlight w:val="none"/>
                      <w:lang w:val="en-US" w:eastAsia="zh-CN"/>
                    </w:rPr>
                    <w:t>及毒性</w:t>
                  </w:r>
                </w:p>
              </w:tc>
              <w:tc>
                <w:tcPr>
                  <w:tcW w:w="937" w:type="pct"/>
                  <w:tcBorders>
                    <w:left w:val="single" w:color="auto" w:sz="4" w:space="0"/>
                  </w:tcBorders>
                  <w:noWrap w:val="0"/>
                  <w:vAlign w:val="center"/>
                </w:tcPr>
                <w:p w14:paraId="7560682A">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主要成分</w:t>
                  </w:r>
                </w:p>
              </w:tc>
              <w:tc>
                <w:tcPr>
                  <w:tcW w:w="655" w:type="pct"/>
                  <w:tcBorders>
                    <w:left w:val="single" w:color="auto" w:sz="4" w:space="0"/>
                  </w:tcBorders>
                  <w:noWrap w:val="0"/>
                  <w:vAlign w:val="center"/>
                </w:tcPr>
                <w:p w14:paraId="4F8BE8A4">
                  <w:pPr>
                    <w:spacing w:line="340" w:lineRule="exact"/>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可挥发成分占比取值</w:t>
                  </w:r>
                </w:p>
              </w:tc>
            </w:tr>
            <w:tr w14:paraId="724ACC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391" w:type="pct"/>
                  <w:tcBorders>
                    <w:right w:val="single" w:color="auto" w:sz="4" w:space="0"/>
                  </w:tcBorders>
                  <w:noWrap w:val="0"/>
                  <w:vAlign w:val="center"/>
                </w:tcPr>
                <w:p w14:paraId="4D8DD913">
                  <w:pPr>
                    <w:widowControl/>
                    <w:spacing w:line="3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溶剂油墨</w:t>
                  </w:r>
                </w:p>
              </w:tc>
              <w:tc>
                <w:tcPr>
                  <w:tcW w:w="1507" w:type="pct"/>
                  <w:tcBorders>
                    <w:left w:val="single" w:color="auto" w:sz="4" w:space="0"/>
                  </w:tcBorders>
                  <w:noWrap w:val="0"/>
                  <w:vAlign w:val="center"/>
                </w:tcPr>
                <w:p w14:paraId="0309CC9B">
                  <w:pPr>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外观与性状：</w:t>
                  </w:r>
                  <w:r>
                    <w:rPr>
                      <w:rFonts w:hint="eastAsia" w:ascii="Times New Roman" w:hAnsi="Times New Roman" w:eastAsia="宋体" w:cs="Times New Roman"/>
                      <w:sz w:val="21"/>
                      <w:szCs w:val="21"/>
                      <w:highlight w:val="none"/>
                      <w:lang w:val="en-US" w:eastAsia="zh-CN"/>
                    </w:rPr>
                    <w:t>液体</w:t>
                  </w:r>
                </w:p>
                <w:p w14:paraId="78132A94">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气味：丙酮味</w:t>
                  </w:r>
                </w:p>
                <w:p w14:paraId="4B78839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熔点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86.3</w:t>
                  </w:r>
                </w:p>
                <w:p w14:paraId="4FEB65A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沸点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79.6</w:t>
                  </w:r>
                </w:p>
                <w:p w14:paraId="2D19F54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相对密度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805</w:t>
                  </w:r>
                </w:p>
                <w:p w14:paraId="4B3C798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相对蒸气密度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空气=1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41</w:t>
                  </w:r>
                </w:p>
                <w:p w14:paraId="060F420F">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蒸气压</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mmHg</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77.5</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p>
                <w:p w14:paraId="5434D29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V/V</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p>
                <w:p w14:paraId="1AC26DFE">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爆炸下限%</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V/V</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8</w:t>
                  </w:r>
                </w:p>
                <w:p w14:paraId="4801444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闪点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13.24</w:t>
                  </w:r>
                </w:p>
                <w:p w14:paraId="363EDA4F">
                  <w:pPr>
                    <w:jc w:val="center"/>
                    <w:rPr>
                      <w:rFonts w:hint="default" w:ascii="Times New Roman" w:hAnsi="Times New Roman" w:eastAsia="宋体" w:cs="Times New Roman"/>
                      <w:sz w:val="21"/>
                      <w:szCs w:val="21"/>
                      <w:highlight w:val="none"/>
                      <w:lang w:val="en-US" w:eastAsia="zh-CN"/>
                    </w:rPr>
                  </w:pPr>
                </w:p>
              </w:tc>
              <w:tc>
                <w:tcPr>
                  <w:tcW w:w="1507" w:type="pct"/>
                  <w:noWrap w:val="0"/>
                  <w:vAlign w:val="center"/>
                </w:tcPr>
                <w:p w14:paraId="5D6D8FD9">
                  <w:pPr>
                    <w:widowControl/>
                    <w:spacing w:line="340" w:lineRule="exact"/>
                    <w:jc w:val="center"/>
                    <w:textAlignment w:val="top"/>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GHS危险性分类：可燃液体，类别</w:t>
                  </w:r>
                  <w:r>
                    <w:rPr>
                      <w:rFonts w:hint="eastAsia" w:ascii="Times New Roman" w:hAnsi="Times New Roman" w:eastAsia="宋体" w:cs="Times New Roman"/>
                      <w:sz w:val="21"/>
                      <w:szCs w:val="21"/>
                      <w:highlight w:val="none"/>
                      <w:lang w:val="en-US" w:eastAsia="zh-CN"/>
                    </w:rPr>
                    <w:t>2</w:t>
                  </w:r>
                </w:p>
                <w:p w14:paraId="3823F011">
                  <w:pPr>
                    <w:widowControl/>
                    <w:spacing w:line="340" w:lineRule="exact"/>
                    <w:jc w:val="center"/>
                    <w:textAlignment w:val="top"/>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急毒性物质，类别4（吞食）</w:t>
                  </w:r>
                </w:p>
                <w:p w14:paraId="7D3E82B4">
                  <w:pPr>
                    <w:widowControl/>
                    <w:spacing w:line="340" w:lineRule="exact"/>
                    <w:jc w:val="center"/>
                    <w:textAlignment w:val="top"/>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腐蚀刺激皮肤物质，类别2</w:t>
                  </w:r>
                </w:p>
                <w:p w14:paraId="7FB7BD8A">
                  <w:pPr>
                    <w:widowControl/>
                    <w:spacing w:line="340" w:lineRule="exact"/>
                    <w:jc w:val="center"/>
                    <w:textAlignment w:val="top"/>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严重损伤/刺激眼睛物质，第2A级</w:t>
                  </w:r>
                </w:p>
                <w:p w14:paraId="71185E55">
                  <w:pPr>
                    <w:widowControl/>
                    <w:spacing w:line="340" w:lineRule="exact"/>
                    <w:jc w:val="center"/>
                    <w:textAlignment w:val="top"/>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特定器官系统毒性物质，重复暴露第2级</w:t>
                  </w:r>
                </w:p>
                <w:p w14:paraId="6D4FFC60">
                  <w:pPr>
                    <w:widowControl/>
                    <w:spacing w:line="340" w:lineRule="exact"/>
                    <w:jc w:val="center"/>
                    <w:textAlignment w:val="top"/>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吸入性危害物质，第1级</w:t>
                  </w:r>
                </w:p>
                <w:p w14:paraId="2CFB560D">
                  <w:pPr>
                    <w:widowControl/>
                    <w:spacing w:line="340" w:lineRule="exact"/>
                    <w:jc w:val="center"/>
                    <w:textAlignment w:val="top"/>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水环境危害物质，第3级</w:t>
                  </w:r>
                </w:p>
              </w:tc>
              <w:tc>
                <w:tcPr>
                  <w:tcW w:w="937" w:type="pct"/>
                  <w:noWrap w:val="0"/>
                  <w:vAlign w:val="center"/>
                </w:tcPr>
                <w:p w14:paraId="7285DC1F">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环己酮15±5%</w:t>
                  </w:r>
                </w:p>
                <w:p w14:paraId="52CDF253">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乙酸正丁酯25±10%</w:t>
                  </w:r>
                </w:p>
                <w:p w14:paraId="392721DB">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丁酮45±10%</w:t>
                  </w:r>
                </w:p>
                <w:p w14:paraId="2E978237">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聚氯乙烯10±5%</w:t>
                  </w:r>
                </w:p>
                <w:p w14:paraId="2DB5E778">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色粉5±3%</w:t>
                  </w:r>
                </w:p>
                <w:p w14:paraId="773F6F50">
                  <w:pPr>
                    <w:jc w:val="both"/>
                    <w:rPr>
                      <w:rFonts w:hint="default" w:ascii="Times New Roman" w:hAnsi="Times New Roman" w:eastAsia="宋体" w:cs="Times New Roman"/>
                      <w:sz w:val="21"/>
                      <w:szCs w:val="21"/>
                      <w:highlight w:val="none"/>
                      <w:lang w:val="en-US" w:eastAsia="zh-CN"/>
                    </w:rPr>
                  </w:pPr>
                </w:p>
              </w:tc>
              <w:tc>
                <w:tcPr>
                  <w:tcW w:w="655" w:type="pct"/>
                  <w:noWrap w:val="0"/>
                  <w:vAlign w:val="center"/>
                </w:tcPr>
                <w:p w14:paraId="3D70C47C">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5%（最大不利）</w:t>
                  </w:r>
                </w:p>
              </w:tc>
            </w:tr>
            <w:tr w14:paraId="2251AA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391" w:type="pct"/>
                  <w:tcBorders>
                    <w:right w:val="single" w:color="auto" w:sz="4" w:space="0"/>
                  </w:tcBorders>
                  <w:noWrap w:val="0"/>
                  <w:vAlign w:val="center"/>
                </w:tcPr>
                <w:p w14:paraId="05F14A73">
                  <w:pPr>
                    <w:widowControl/>
                    <w:spacing w:line="340" w:lineRule="exact"/>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UV</w:t>
                  </w:r>
                  <w:r>
                    <w:rPr>
                      <w:rFonts w:hint="default" w:ascii="Times New Roman" w:hAnsi="Times New Roman" w:eastAsia="宋体" w:cs="Times New Roman"/>
                      <w:color w:val="auto"/>
                      <w:kern w:val="0"/>
                      <w:sz w:val="21"/>
                      <w:szCs w:val="21"/>
                      <w:highlight w:val="none"/>
                      <w:lang w:val="en-US" w:eastAsia="zh-CN" w:bidi="ar"/>
                    </w:rPr>
                    <w:t>油墨</w:t>
                  </w:r>
                </w:p>
              </w:tc>
              <w:tc>
                <w:tcPr>
                  <w:tcW w:w="1507" w:type="pct"/>
                  <w:tcBorders>
                    <w:left w:val="single" w:color="auto" w:sz="4" w:space="0"/>
                  </w:tcBorders>
                  <w:noWrap w:val="0"/>
                  <w:vAlign w:val="center"/>
                </w:tcPr>
                <w:p w14:paraId="0E43A64F">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外观与性状：白色液体或其他颜色液体</w:t>
                  </w:r>
                </w:p>
                <w:p w14:paraId="2ACF7F3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气味：强烈刺激气味</w:t>
                  </w:r>
                </w:p>
                <w:p w14:paraId="4120D73A">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pH值：非水</w:t>
                  </w:r>
                </w:p>
                <w:p w14:paraId="0751888C">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溶解性：缓慢水解</w:t>
                  </w:r>
                </w:p>
                <w:p w14:paraId="0569DE27">
                  <w:pPr>
                    <w:jc w:val="center"/>
                    <w:rPr>
                      <w:rFonts w:hint="default" w:ascii="Times New Roman" w:hAnsi="Times New Roman" w:eastAsia="宋体" w:cs="Times New Roman"/>
                      <w:color w:val="auto"/>
                      <w:sz w:val="21"/>
                      <w:szCs w:val="21"/>
                      <w:highlight w:val="none"/>
                    </w:rPr>
                  </w:pPr>
                </w:p>
              </w:tc>
              <w:tc>
                <w:tcPr>
                  <w:tcW w:w="1507" w:type="pct"/>
                  <w:noWrap w:val="0"/>
                  <w:vAlign w:val="center"/>
                </w:tcPr>
                <w:p w14:paraId="31FF717B">
                  <w:pPr>
                    <w:widowControl/>
                    <w:spacing w:line="340" w:lineRule="exact"/>
                    <w:jc w:val="center"/>
                    <w:textAlignment w:val="top"/>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GHS危险性分类：可燃液体，类别4</w:t>
                  </w:r>
                </w:p>
                <w:p w14:paraId="2FDC8471">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H304吞咽并</w:t>
                  </w:r>
                  <w:r>
                    <w:rPr>
                      <w:rFonts w:hint="eastAsia" w:ascii="Times New Roman" w:hAnsi="Times New Roman" w:eastAsia="宋体" w:cs="Times New Roman"/>
                      <w:sz w:val="21"/>
                      <w:szCs w:val="21"/>
                      <w:highlight w:val="none"/>
                      <w:lang w:eastAsia="zh-CN"/>
                    </w:rPr>
                    <w:t>进入</w:t>
                  </w:r>
                  <w:r>
                    <w:rPr>
                      <w:rFonts w:hint="default" w:ascii="Times New Roman" w:hAnsi="Times New Roman" w:eastAsia="宋体" w:cs="Times New Roman"/>
                      <w:sz w:val="21"/>
                      <w:szCs w:val="21"/>
                      <w:highlight w:val="none"/>
                    </w:rPr>
                    <w:t>呼吸道可能致命。</w:t>
                  </w:r>
                </w:p>
                <w:p w14:paraId="214F0B41">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H315对皮肤刺激。</w:t>
                  </w:r>
                </w:p>
                <w:p w14:paraId="11D647F3">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H332吸入有害。</w:t>
                  </w:r>
                </w:p>
                <w:p w14:paraId="408AD3B3">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H335可能引起呼吸道刺激</w:t>
                  </w:r>
                </w:p>
                <w:p w14:paraId="0EBFE9D7">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H336可能引起嗜睡或头晕。</w:t>
                  </w:r>
                </w:p>
                <w:p w14:paraId="20AD8ED0">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H401对水生生物有毒。</w:t>
                  </w:r>
                </w:p>
              </w:tc>
              <w:tc>
                <w:tcPr>
                  <w:tcW w:w="937" w:type="pct"/>
                  <w:noWrap w:val="0"/>
                  <w:vAlign w:val="top"/>
                </w:tcPr>
                <w:p w14:paraId="39887629">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改性聚氨酯丙烯酸脂</w:t>
                  </w:r>
                  <w:r>
                    <w:rPr>
                      <w:rFonts w:hint="eastAsia" w:ascii="Times New Roman" w:hAnsi="Times New Roman" w:eastAsia="宋体" w:cs="Times New Roman"/>
                      <w:sz w:val="21"/>
                      <w:szCs w:val="21"/>
                      <w:highlight w:val="none"/>
                      <w:lang w:val="en-US" w:eastAsia="zh-CN"/>
                    </w:rPr>
                    <w:t>32%～44%</w:t>
                  </w:r>
                </w:p>
                <w:p w14:paraId="0D241EA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三丙二醇丙烯酸脂</w:t>
                  </w:r>
                </w:p>
                <w:p w14:paraId="069BBCA9">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6%—10%</w:t>
                  </w:r>
                </w:p>
                <w:p w14:paraId="5615E4AF">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苯氧基</w:t>
                  </w:r>
                  <w:r>
                    <w:rPr>
                      <w:rFonts w:hint="eastAsia" w:ascii="Times New Roman" w:hAnsi="Times New Roman" w:eastAsia="宋体" w:cs="Times New Roman"/>
                      <w:sz w:val="21"/>
                      <w:szCs w:val="21"/>
                      <w:highlight w:val="none"/>
                      <w:lang w:val="en-US" w:eastAsia="zh-CN"/>
                    </w:rPr>
                    <w:t>己</w:t>
                  </w:r>
                  <w:r>
                    <w:rPr>
                      <w:rFonts w:hint="default" w:ascii="Times New Roman" w:hAnsi="Times New Roman" w:eastAsia="宋体" w:cs="Times New Roman"/>
                      <w:sz w:val="21"/>
                      <w:szCs w:val="21"/>
                      <w:highlight w:val="none"/>
                      <w:lang w:val="en-US" w:eastAsia="zh-CN"/>
                    </w:rPr>
                    <w:t>基丙烯酸酯</w:t>
                  </w:r>
                </w:p>
                <w:p w14:paraId="39CB69BC">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6%—10%</w:t>
                  </w:r>
                </w:p>
                <w:p w14:paraId="1736CF99">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光引发剂</w:t>
                  </w:r>
                  <w:r>
                    <w:rPr>
                      <w:rFonts w:hint="eastAsia" w:ascii="Times New Roman" w:hAnsi="Times New Roman" w:eastAsia="宋体" w:cs="Times New Roman"/>
                      <w:sz w:val="21"/>
                      <w:szCs w:val="21"/>
                      <w:highlight w:val="none"/>
                      <w:lang w:val="en-US" w:eastAsia="zh-CN"/>
                    </w:rPr>
                    <w:t>5%～7%</w:t>
                  </w:r>
                </w:p>
                <w:p w14:paraId="77718355">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单体</w:t>
                  </w:r>
                  <w:r>
                    <w:rPr>
                      <w:rFonts w:hint="eastAsia" w:ascii="Times New Roman" w:hAnsi="Times New Roman" w:eastAsia="宋体" w:cs="Times New Roman"/>
                      <w:sz w:val="21"/>
                      <w:szCs w:val="21"/>
                      <w:highlight w:val="none"/>
                      <w:lang w:val="en-US" w:eastAsia="zh-CN"/>
                    </w:rPr>
                    <w:t>17%～22%</w:t>
                  </w:r>
                </w:p>
                <w:p w14:paraId="6586B8E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纤维素</w:t>
                  </w:r>
                  <w:r>
                    <w:rPr>
                      <w:rFonts w:hint="eastAsia" w:ascii="Times New Roman" w:hAnsi="Times New Roman" w:eastAsia="宋体" w:cs="Times New Roman"/>
                      <w:sz w:val="21"/>
                      <w:szCs w:val="21"/>
                      <w:highlight w:val="none"/>
                      <w:lang w:val="en-US" w:eastAsia="zh-CN"/>
                    </w:rPr>
                    <w:t>2%～4%</w:t>
                  </w:r>
                </w:p>
                <w:p w14:paraId="6FE92ED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钛白粉</w:t>
                  </w:r>
                  <w:r>
                    <w:rPr>
                      <w:rFonts w:hint="eastAsia" w:ascii="Times New Roman" w:hAnsi="Times New Roman" w:eastAsia="宋体" w:cs="Times New Roman"/>
                      <w:sz w:val="21"/>
                      <w:szCs w:val="21"/>
                      <w:highlight w:val="none"/>
                      <w:lang w:val="en-US" w:eastAsia="zh-CN"/>
                    </w:rPr>
                    <w:t>0～30%</w:t>
                  </w:r>
                </w:p>
                <w:p w14:paraId="4981EFEF">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色粉</w:t>
                  </w:r>
                  <w:r>
                    <w:rPr>
                      <w:rFonts w:hint="eastAsia" w:ascii="Times New Roman" w:hAnsi="Times New Roman" w:eastAsia="宋体" w:cs="Times New Roman"/>
                      <w:sz w:val="21"/>
                      <w:szCs w:val="21"/>
                      <w:highlight w:val="none"/>
                      <w:lang w:val="en-US" w:eastAsia="zh-CN"/>
                    </w:rPr>
                    <w:t>0～6%</w:t>
                  </w:r>
                </w:p>
                <w:p w14:paraId="6CE14186">
                  <w:pPr>
                    <w:jc w:val="center"/>
                    <w:rPr>
                      <w:rFonts w:hint="default" w:ascii="Times New Roman" w:hAnsi="Times New Roman" w:eastAsia="宋体" w:cs="Times New Roman"/>
                      <w:sz w:val="21"/>
                      <w:szCs w:val="21"/>
                      <w:highlight w:val="none"/>
                      <w:lang w:val="en-US" w:eastAsia="zh-CN"/>
                    </w:rPr>
                  </w:pPr>
                </w:p>
              </w:tc>
              <w:tc>
                <w:tcPr>
                  <w:tcW w:w="655" w:type="pct"/>
                  <w:noWrap w:val="0"/>
                  <w:vAlign w:val="center"/>
                </w:tcPr>
                <w:p w14:paraId="1FD76DF5">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 xml:space="preserve">75%（最大不利） </w:t>
                  </w:r>
                </w:p>
              </w:tc>
            </w:tr>
            <w:tr w14:paraId="2AFF1D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391" w:type="pct"/>
                  <w:tcBorders>
                    <w:right w:val="single" w:color="auto" w:sz="4" w:space="0"/>
                  </w:tcBorders>
                  <w:noWrap w:val="0"/>
                  <w:vAlign w:val="center"/>
                </w:tcPr>
                <w:p w14:paraId="0771B10B">
                  <w:pPr>
                    <w:widowControl/>
                    <w:spacing w:line="3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清洗剂</w:t>
                  </w:r>
                </w:p>
              </w:tc>
              <w:tc>
                <w:tcPr>
                  <w:tcW w:w="1507" w:type="pct"/>
                  <w:tcBorders>
                    <w:left w:val="single" w:color="auto" w:sz="4" w:space="0"/>
                  </w:tcBorders>
                  <w:noWrap w:val="0"/>
                  <w:vAlign w:val="center"/>
                </w:tcPr>
                <w:p w14:paraId="2A9C5FA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外观与性状：无色澄清液体，</w:t>
                  </w:r>
                </w:p>
                <w:p w14:paraId="7D9BC34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具有香味，易挥发。</w:t>
                  </w:r>
                </w:p>
                <w:p w14:paraId="4491265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熔点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：-98.7</w:t>
                  </w:r>
                </w:p>
                <w:p w14:paraId="0CEA1CD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：56.9</w:t>
                  </w:r>
                </w:p>
                <w:p w14:paraId="27D847C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：0.92</w:t>
                  </w:r>
                </w:p>
                <w:p w14:paraId="2A90B64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相对蒸气密度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空气=1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：2.55</w:t>
                  </w:r>
                </w:p>
                <w:p w14:paraId="2188FE2F">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饱和蒸汽</w:t>
                  </w:r>
                  <w:r>
                    <w:rPr>
                      <w:rFonts w:hint="default" w:ascii="Times New Roman" w:hAnsi="Times New Roman" w:eastAsia="宋体" w:cs="Times New Roman"/>
                      <w:color w:val="auto"/>
                      <w:sz w:val="21"/>
                      <w:szCs w:val="21"/>
                      <w:highlight w:val="none"/>
                    </w:rPr>
                    <w:t>压</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kPa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：13.33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9.4℃</w:t>
                  </w:r>
                  <w:r>
                    <w:rPr>
                      <w:rFonts w:hint="eastAsia" w:ascii="Times New Roman" w:hAnsi="Times New Roman" w:eastAsia="宋体" w:cs="Times New Roman"/>
                      <w:color w:val="auto"/>
                      <w:sz w:val="21"/>
                      <w:szCs w:val="21"/>
                      <w:highlight w:val="none"/>
                      <w:lang w:eastAsia="zh-CN"/>
                    </w:rPr>
                    <w:t>）</w:t>
                  </w:r>
                </w:p>
                <w:p w14:paraId="4A1775E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燃烧热</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kJ/mol</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：1593.4</w:t>
                  </w:r>
                </w:p>
                <w:p w14:paraId="5BFF41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临界温度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：233.7</w:t>
                  </w:r>
                </w:p>
                <w:p w14:paraId="45C95C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临界压力</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MPa</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：4.75</w:t>
                  </w:r>
                </w:p>
                <w:p w14:paraId="46490D63">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：-10</w:t>
                  </w:r>
                </w:p>
                <w:p w14:paraId="4516F0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引燃温度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：454</w:t>
                  </w:r>
                </w:p>
                <w:p w14:paraId="04C2310A">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V/V</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：16.0</w:t>
                  </w:r>
                </w:p>
                <w:p w14:paraId="76BF64A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V/V</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：3.1</w:t>
                  </w:r>
                </w:p>
                <w:p w14:paraId="698B103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溶解性：微溶于水，溶于醇、酮、醚等多数有机溶剂。</w:t>
                  </w:r>
                </w:p>
              </w:tc>
              <w:tc>
                <w:tcPr>
                  <w:tcW w:w="1507" w:type="pct"/>
                  <w:noWrap w:val="0"/>
                  <w:vAlign w:val="center"/>
                </w:tcPr>
                <w:p w14:paraId="5271C6FF">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急性毒性</w:t>
                  </w:r>
                </w:p>
                <w:p w14:paraId="40D25806">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LD50</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5450mg/kg（大鼠经口）；3700mg/kg（兔经口）</w:t>
                  </w:r>
                </w:p>
              </w:tc>
              <w:tc>
                <w:tcPr>
                  <w:tcW w:w="937" w:type="pct"/>
                  <w:noWrap w:val="0"/>
                  <w:vAlign w:val="center"/>
                </w:tcPr>
                <w:p w14:paraId="0DB68570">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乙酸甲酯</w:t>
                  </w:r>
                  <w:r>
                    <w:rPr>
                      <w:rFonts w:hint="eastAsia" w:ascii="Times New Roman" w:hAnsi="Times New Roman" w:eastAsia="宋体" w:cs="Times New Roman"/>
                      <w:sz w:val="21"/>
                      <w:szCs w:val="21"/>
                      <w:highlight w:val="none"/>
                      <w:lang w:val="en-US" w:eastAsia="zh-CN"/>
                    </w:rPr>
                    <w:t>40%—60%</w:t>
                  </w:r>
                </w:p>
                <w:p w14:paraId="454AE7E6">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乙酸乙酯20%—30%</w:t>
                  </w:r>
                </w:p>
                <w:p w14:paraId="04089CAC">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乙酸正丙酯10%—20%</w:t>
                  </w:r>
                </w:p>
                <w:p w14:paraId="6FEA1AF1">
                  <w:pPr>
                    <w:jc w:val="center"/>
                    <w:rPr>
                      <w:rFonts w:hint="default"/>
                      <w:highlight w:val="none"/>
                      <w:lang w:val="en-US" w:eastAsia="zh-CN"/>
                    </w:rPr>
                  </w:pPr>
                  <w:r>
                    <w:rPr>
                      <w:rFonts w:hint="default" w:ascii="Times New Roman" w:hAnsi="Times New Roman" w:eastAsia="宋体" w:cs="Times New Roman"/>
                      <w:sz w:val="21"/>
                      <w:szCs w:val="21"/>
                      <w:highlight w:val="none"/>
                      <w:lang w:val="en-US" w:eastAsia="zh-CN"/>
                    </w:rPr>
                    <w:t>其他</w:t>
                  </w:r>
                  <w:r>
                    <w:rPr>
                      <w:rFonts w:hint="eastAsia" w:ascii="Times New Roman" w:hAnsi="Times New Roman" w:eastAsia="宋体" w:cs="Times New Roman"/>
                      <w:sz w:val="21"/>
                      <w:szCs w:val="21"/>
                      <w:highlight w:val="none"/>
                      <w:lang w:val="en-US" w:eastAsia="zh-CN"/>
                    </w:rPr>
                    <w:t>5%—10%</w:t>
                  </w:r>
                </w:p>
              </w:tc>
              <w:tc>
                <w:tcPr>
                  <w:tcW w:w="655" w:type="pct"/>
                  <w:noWrap w:val="0"/>
                  <w:vAlign w:val="center"/>
                </w:tcPr>
                <w:p w14:paraId="0AF29C6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100%</w:t>
                  </w:r>
                </w:p>
              </w:tc>
            </w:tr>
          </w:tbl>
          <w:p w14:paraId="745E11DA">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物料平衡</w:t>
            </w:r>
          </w:p>
          <w:p w14:paraId="5B71491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eastAsia" w:ascii="Times New Roman" w:hAnsi="Times New Roman" w:eastAsia="宋体" w:cs="Times New Roman"/>
                <w:b w:val="0"/>
                <w:bCs w:val="0"/>
                <w:color w:val="000000"/>
                <w:kern w:val="0"/>
                <w:sz w:val="24"/>
                <w:szCs w:val="24"/>
                <w:highlight w:val="none"/>
                <w:lang w:val="en-US" w:eastAsia="zh-CN" w:bidi="ar"/>
              </w:rPr>
              <w:t>本</w:t>
            </w:r>
            <w:r>
              <w:rPr>
                <w:rFonts w:hint="default" w:ascii="Times New Roman" w:hAnsi="Times New Roman" w:eastAsia="宋体" w:cs="Times New Roman"/>
                <w:b w:val="0"/>
                <w:bCs w:val="0"/>
                <w:color w:val="000000"/>
                <w:kern w:val="0"/>
                <w:sz w:val="24"/>
                <w:szCs w:val="24"/>
                <w:highlight w:val="none"/>
                <w:lang w:val="en-US" w:eastAsia="zh-CN" w:bidi="ar"/>
              </w:rPr>
              <w:t>项目</w:t>
            </w:r>
            <w:r>
              <w:rPr>
                <w:rFonts w:hint="eastAsia" w:ascii="Times New Roman" w:hAnsi="Times New Roman" w:eastAsia="宋体" w:cs="Times New Roman"/>
                <w:b w:val="0"/>
                <w:bCs w:val="0"/>
                <w:color w:val="000000"/>
                <w:kern w:val="0"/>
                <w:sz w:val="24"/>
                <w:szCs w:val="24"/>
                <w:highlight w:val="none"/>
                <w:lang w:val="en-US" w:eastAsia="zh-CN" w:bidi="ar"/>
              </w:rPr>
              <w:t>充气床生产中，</w:t>
            </w:r>
            <w:r>
              <w:rPr>
                <w:rFonts w:hint="default" w:ascii="Times New Roman" w:hAnsi="Times New Roman" w:eastAsia="宋体" w:cs="Times New Roman"/>
                <w:b w:val="0"/>
                <w:bCs w:val="0"/>
                <w:color w:val="000000"/>
                <w:kern w:val="0"/>
                <w:sz w:val="24"/>
                <w:szCs w:val="24"/>
                <w:highlight w:val="none"/>
                <w:lang w:val="en-US" w:eastAsia="zh-CN" w:bidi="ar"/>
              </w:rPr>
              <w:t>气嘴、拉手直接外购半成品，不自行生产，该部分不损耗直接进入产品，不计入物料平衡；</w:t>
            </w:r>
            <w:r>
              <w:rPr>
                <w:rFonts w:hint="eastAsia" w:ascii="Times New Roman" w:hAnsi="Times New Roman" w:eastAsia="宋体" w:cs="Times New Roman"/>
                <w:b w:val="0"/>
                <w:bCs w:val="0"/>
                <w:color w:val="000000"/>
                <w:kern w:val="0"/>
                <w:sz w:val="24"/>
                <w:szCs w:val="24"/>
                <w:highlight w:val="none"/>
                <w:lang w:val="en-US" w:eastAsia="zh-CN" w:bidi="ar"/>
              </w:rPr>
              <w:t>清洗剂主要用作网版的清洗，不进入产品，不计入物料平衡；箱包和露营垫的生产主要是原材料的组装，这一过程不涉及废水、废气的排放，且投入物料使用量较小，故而不计算物料平衡</w:t>
            </w:r>
            <w:r>
              <w:rPr>
                <w:rFonts w:hint="default" w:ascii="Times New Roman" w:hAnsi="Times New Roman" w:eastAsia="宋体" w:cs="Times New Roman"/>
                <w:b w:val="0"/>
                <w:bCs w:val="0"/>
                <w:color w:val="000000"/>
                <w:kern w:val="0"/>
                <w:sz w:val="24"/>
                <w:szCs w:val="24"/>
                <w:highlight w:val="none"/>
                <w:lang w:val="en-US" w:eastAsia="zh-CN" w:bidi="ar"/>
              </w:rPr>
              <w:t>。</w:t>
            </w:r>
            <w:r>
              <w:rPr>
                <w:rFonts w:hint="eastAsia" w:ascii="Times New Roman" w:hAnsi="Times New Roman" w:eastAsia="宋体" w:cs="Times New Roman"/>
                <w:b w:val="0"/>
                <w:bCs w:val="0"/>
                <w:color w:val="000000"/>
                <w:kern w:val="0"/>
                <w:sz w:val="24"/>
                <w:szCs w:val="24"/>
                <w:highlight w:val="none"/>
                <w:lang w:val="en-US" w:eastAsia="zh-CN" w:bidi="ar"/>
              </w:rPr>
              <w:t>具体的物料平衡见下表2.5-4。</w:t>
            </w:r>
          </w:p>
          <w:p w14:paraId="21C62F68">
            <w:pPr>
              <w:snapToGrid w:val="0"/>
              <w:spacing w:line="360" w:lineRule="auto"/>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.5-4</w:t>
            </w:r>
            <w:r>
              <w:rPr>
                <w:rFonts w:hint="default" w:ascii="Times New Roman" w:hAnsi="Times New Roman" w:cs="Times New Roman"/>
                <w:b/>
                <w:color w:val="auto"/>
                <w:sz w:val="24"/>
                <w:highlight w:val="none"/>
              </w:rPr>
              <w:t xml:space="preserve"> </w:t>
            </w:r>
            <w:r>
              <w:rPr>
                <w:rFonts w:hint="default" w:ascii="Times New Roman" w:hAnsi="Times New Roman" w:cs="Times New Roman"/>
                <w:b/>
                <w:color w:val="auto"/>
                <w:sz w:val="24"/>
                <w:highlight w:val="none"/>
                <w:lang w:val="en-US" w:eastAsia="zh-CN"/>
              </w:rPr>
              <w:t>物料平衡表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87"/>
              <w:gridCol w:w="2063"/>
              <w:gridCol w:w="1806"/>
              <w:gridCol w:w="918"/>
              <w:gridCol w:w="1398"/>
              <w:gridCol w:w="1401"/>
            </w:tblGrid>
            <w:tr w14:paraId="48182C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4" w:hRule="atLeast"/>
                <w:tblHeader/>
                <w:jc w:val="center"/>
              </w:trPr>
              <w:tc>
                <w:tcPr>
                  <w:tcW w:w="470" w:type="pct"/>
                  <w:tcBorders>
                    <w:right w:val="single" w:color="auto" w:sz="4" w:space="0"/>
                  </w:tcBorders>
                  <w:noWrap w:val="0"/>
                  <w:vAlign w:val="center"/>
                </w:tcPr>
                <w:p w14:paraId="033D7EE1">
                  <w:pPr>
                    <w:spacing w:line="3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序号</w:t>
                  </w:r>
                </w:p>
              </w:tc>
              <w:tc>
                <w:tcPr>
                  <w:tcW w:w="2310" w:type="pct"/>
                  <w:gridSpan w:val="2"/>
                  <w:tcBorders>
                    <w:left w:val="single" w:color="auto" w:sz="4" w:space="0"/>
                    <w:right w:val="single" w:color="auto" w:sz="4" w:space="0"/>
                  </w:tcBorders>
                  <w:noWrap w:val="0"/>
                  <w:vAlign w:val="center"/>
                </w:tcPr>
                <w:p w14:paraId="3D36540F">
                  <w:pPr>
                    <w:spacing w:line="340" w:lineRule="exact"/>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投入（t/a）</w:t>
                  </w:r>
                </w:p>
              </w:tc>
              <w:tc>
                <w:tcPr>
                  <w:tcW w:w="548" w:type="pct"/>
                  <w:tcBorders>
                    <w:left w:val="single" w:color="auto" w:sz="4" w:space="0"/>
                  </w:tcBorders>
                  <w:noWrap w:val="0"/>
                  <w:vAlign w:val="center"/>
                </w:tcPr>
                <w:p w14:paraId="1B7F55DB">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序号</w:t>
                  </w:r>
                </w:p>
              </w:tc>
              <w:tc>
                <w:tcPr>
                  <w:tcW w:w="1671" w:type="pct"/>
                  <w:gridSpan w:val="2"/>
                  <w:tcBorders>
                    <w:left w:val="single" w:color="auto" w:sz="4" w:space="0"/>
                  </w:tcBorders>
                  <w:noWrap w:val="0"/>
                  <w:vAlign w:val="center"/>
                </w:tcPr>
                <w:p w14:paraId="5917A462">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产出（t/a）</w:t>
                  </w:r>
                </w:p>
              </w:tc>
            </w:tr>
            <w:tr w14:paraId="239DB5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4" w:hRule="atLeast"/>
                <w:tblHeader/>
                <w:jc w:val="center"/>
              </w:trPr>
              <w:tc>
                <w:tcPr>
                  <w:tcW w:w="5000" w:type="pct"/>
                  <w:gridSpan w:val="6"/>
                  <w:noWrap w:val="0"/>
                  <w:vAlign w:val="center"/>
                </w:tcPr>
                <w:p w14:paraId="387B9F6F">
                  <w:pPr>
                    <w:spacing w:line="340" w:lineRule="exact"/>
                    <w:jc w:val="center"/>
                    <w:rPr>
                      <w:rFonts w:hint="default" w:ascii="Times New Roman" w:hAnsi="Times New Roman" w:cs="Times New Roman"/>
                      <w:b/>
                      <w:bCs/>
                      <w:color w:val="auto"/>
                      <w:szCs w:val="21"/>
                      <w:highlight w:val="none"/>
                      <w:lang w:val="en-US" w:eastAsia="zh-CN"/>
                    </w:rPr>
                  </w:pPr>
                  <w:r>
                    <w:rPr>
                      <w:rFonts w:hint="eastAsia" w:ascii="Times New Roman" w:hAnsi="Times New Roman" w:eastAsia="宋体" w:cs="Times New Roman"/>
                      <w:sz w:val="21"/>
                      <w:szCs w:val="21"/>
                      <w:highlight w:val="none"/>
                      <w:lang w:val="en-US" w:eastAsia="zh-CN"/>
                    </w:rPr>
                    <w:t>充气床物料平衡</w:t>
                  </w:r>
                </w:p>
              </w:tc>
            </w:tr>
            <w:tr w14:paraId="5D39DC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470" w:type="pct"/>
                  <w:tcBorders>
                    <w:right w:val="single" w:color="auto" w:sz="4" w:space="0"/>
                  </w:tcBorders>
                  <w:noWrap w:val="0"/>
                  <w:vAlign w:val="center"/>
                </w:tcPr>
                <w:p w14:paraId="0307A046">
                  <w:pPr>
                    <w:widowControl/>
                    <w:spacing w:line="340" w:lineRule="exact"/>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1231" w:type="pct"/>
                  <w:tcBorders>
                    <w:left w:val="single" w:color="auto" w:sz="4" w:space="0"/>
                  </w:tcBorders>
                  <w:noWrap w:val="0"/>
                  <w:vAlign w:val="center"/>
                </w:tcPr>
                <w:p w14:paraId="51282EC3">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sz w:val="21"/>
                      <w:szCs w:val="21"/>
                      <w:highlight w:val="none"/>
                      <w:lang w:val="en-US" w:eastAsia="zh-CN"/>
                    </w:rPr>
                    <w:t>PVC膜</w:t>
                  </w:r>
                </w:p>
              </w:tc>
              <w:tc>
                <w:tcPr>
                  <w:tcW w:w="1078" w:type="pct"/>
                  <w:tcBorders>
                    <w:left w:val="single" w:color="auto" w:sz="4" w:space="0"/>
                  </w:tcBorders>
                  <w:noWrap w:val="0"/>
                  <w:vAlign w:val="center"/>
                </w:tcPr>
                <w:p w14:paraId="48303766">
                  <w:pPr>
                    <w:widowControl/>
                    <w:spacing w:line="340" w:lineRule="exact"/>
                    <w:jc w:val="center"/>
                    <w:textAlignment w:val="center"/>
                    <w:rPr>
                      <w:rFonts w:hint="default" w:ascii="Times New Roman" w:hAnsi="Times New Roman" w:eastAsia="宋体" w:cs="Times New Roman"/>
                      <w:sz w:val="21"/>
                      <w:szCs w:val="21"/>
                      <w:highlight w:val="none"/>
                      <w:lang w:val="en-US" w:eastAsia="zh-CN"/>
                    </w:rPr>
                  </w:pPr>
                </w:p>
              </w:tc>
              <w:tc>
                <w:tcPr>
                  <w:tcW w:w="548" w:type="pct"/>
                  <w:noWrap w:val="0"/>
                  <w:vAlign w:val="center"/>
                </w:tcPr>
                <w:p w14:paraId="0C9291E2">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w:t>
                  </w:r>
                </w:p>
              </w:tc>
              <w:tc>
                <w:tcPr>
                  <w:tcW w:w="835" w:type="pct"/>
                  <w:noWrap w:val="0"/>
                  <w:vAlign w:val="center"/>
                </w:tcPr>
                <w:p w14:paraId="37C0D5FE">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充气床</w:t>
                  </w:r>
                </w:p>
              </w:tc>
              <w:tc>
                <w:tcPr>
                  <w:tcW w:w="836" w:type="pct"/>
                  <w:noWrap w:val="0"/>
                  <w:vAlign w:val="center"/>
                </w:tcPr>
                <w:p w14:paraId="155280D7">
                  <w:pPr>
                    <w:jc w:val="center"/>
                    <w:rPr>
                      <w:rFonts w:hint="default" w:ascii="Times New Roman" w:hAnsi="Times New Roman" w:eastAsia="宋体" w:cs="Times New Roman"/>
                      <w:sz w:val="21"/>
                      <w:szCs w:val="21"/>
                      <w:highlight w:val="none"/>
                      <w:lang w:val="en-US" w:eastAsia="zh-CN"/>
                    </w:rPr>
                  </w:pPr>
                </w:p>
              </w:tc>
            </w:tr>
            <w:tr w14:paraId="2E00BB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470" w:type="pct"/>
                  <w:tcBorders>
                    <w:right w:val="single" w:color="auto" w:sz="4" w:space="0"/>
                  </w:tcBorders>
                  <w:noWrap w:val="0"/>
                  <w:vAlign w:val="center"/>
                </w:tcPr>
                <w:p w14:paraId="72E6D206">
                  <w:pPr>
                    <w:widowControl/>
                    <w:spacing w:line="34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2</w:t>
                  </w:r>
                </w:p>
              </w:tc>
              <w:tc>
                <w:tcPr>
                  <w:tcW w:w="1231" w:type="pct"/>
                  <w:tcBorders>
                    <w:left w:val="single" w:color="auto" w:sz="4" w:space="0"/>
                  </w:tcBorders>
                  <w:noWrap w:val="0"/>
                  <w:vAlign w:val="center"/>
                </w:tcPr>
                <w:p w14:paraId="1B27D64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TPU膜</w:t>
                  </w:r>
                </w:p>
              </w:tc>
              <w:tc>
                <w:tcPr>
                  <w:tcW w:w="1078" w:type="pct"/>
                  <w:tcBorders>
                    <w:left w:val="single" w:color="auto" w:sz="4" w:space="0"/>
                  </w:tcBorders>
                  <w:noWrap w:val="0"/>
                  <w:vAlign w:val="center"/>
                </w:tcPr>
                <w:p w14:paraId="2A5BC31E">
                  <w:pPr>
                    <w:widowControl/>
                    <w:spacing w:line="340" w:lineRule="exact"/>
                    <w:jc w:val="center"/>
                    <w:textAlignment w:val="center"/>
                    <w:rPr>
                      <w:rFonts w:hint="default" w:ascii="Times New Roman" w:hAnsi="Times New Roman" w:eastAsia="宋体" w:cs="Times New Roman"/>
                      <w:sz w:val="21"/>
                      <w:szCs w:val="21"/>
                      <w:highlight w:val="none"/>
                      <w:lang w:val="en-US" w:eastAsia="zh-CN"/>
                    </w:rPr>
                  </w:pPr>
                </w:p>
              </w:tc>
              <w:tc>
                <w:tcPr>
                  <w:tcW w:w="548" w:type="pct"/>
                  <w:noWrap w:val="0"/>
                  <w:vAlign w:val="center"/>
                </w:tcPr>
                <w:p w14:paraId="29FAED9C">
                  <w:pPr>
                    <w:widowControl/>
                    <w:spacing w:line="340" w:lineRule="exact"/>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2</w:t>
                  </w:r>
                </w:p>
              </w:tc>
              <w:tc>
                <w:tcPr>
                  <w:tcW w:w="835" w:type="pct"/>
                  <w:noWrap w:val="0"/>
                  <w:vAlign w:val="center"/>
                </w:tcPr>
                <w:p w14:paraId="79543489">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边角料</w:t>
                  </w:r>
                  <w:r>
                    <w:rPr>
                      <w:rFonts w:hint="eastAsia" w:ascii="Times New Roman" w:hAnsi="Times New Roman" w:eastAsia="宋体" w:cs="Times New Roman"/>
                      <w:sz w:val="21"/>
                      <w:szCs w:val="21"/>
                      <w:highlight w:val="none"/>
                      <w:lang w:val="en-US" w:eastAsia="zh-CN"/>
                    </w:rPr>
                    <w:t>、不合格品</w:t>
                  </w:r>
                </w:p>
              </w:tc>
              <w:tc>
                <w:tcPr>
                  <w:tcW w:w="836" w:type="pct"/>
                  <w:noWrap w:val="0"/>
                  <w:vAlign w:val="center"/>
                </w:tcPr>
                <w:p w14:paraId="2329BAF2">
                  <w:pPr>
                    <w:jc w:val="center"/>
                    <w:rPr>
                      <w:rFonts w:hint="default" w:ascii="Times New Roman" w:hAnsi="Times New Roman" w:eastAsia="宋体" w:cs="Times New Roman"/>
                      <w:sz w:val="21"/>
                      <w:szCs w:val="21"/>
                      <w:highlight w:val="none"/>
                      <w:lang w:val="en-US" w:eastAsia="zh-CN"/>
                    </w:rPr>
                  </w:pPr>
                </w:p>
              </w:tc>
            </w:tr>
            <w:tr w14:paraId="1B1FD0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470" w:type="pct"/>
                  <w:tcBorders>
                    <w:right w:val="single" w:color="auto" w:sz="4" w:space="0"/>
                  </w:tcBorders>
                  <w:shd w:val="clear" w:color="auto" w:fill="auto"/>
                  <w:noWrap w:val="0"/>
                  <w:vAlign w:val="center"/>
                </w:tcPr>
                <w:p w14:paraId="5F1FD18E">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231" w:type="pct"/>
                  <w:tcBorders>
                    <w:left w:val="single" w:color="auto" w:sz="4" w:space="0"/>
                  </w:tcBorders>
                  <w:noWrap w:val="0"/>
                  <w:vAlign w:val="center"/>
                </w:tcPr>
                <w:p w14:paraId="2125B5D1">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PVC拉丝料（万平/a）</w:t>
                  </w:r>
                </w:p>
              </w:tc>
              <w:tc>
                <w:tcPr>
                  <w:tcW w:w="1078" w:type="pct"/>
                  <w:tcBorders>
                    <w:left w:val="single" w:color="auto" w:sz="4" w:space="0"/>
                  </w:tcBorders>
                  <w:noWrap w:val="0"/>
                  <w:vAlign w:val="center"/>
                </w:tcPr>
                <w:p w14:paraId="198BED90">
                  <w:pPr>
                    <w:widowControl/>
                    <w:spacing w:line="34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548" w:type="pct"/>
                  <w:shd w:val="clear" w:color="auto" w:fill="auto"/>
                  <w:noWrap w:val="0"/>
                  <w:vAlign w:val="center"/>
                </w:tcPr>
                <w:p w14:paraId="017B139A">
                  <w:pPr>
                    <w:widowControl/>
                    <w:spacing w:line="340" w:lineRule="exact"/>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1429" w:type="dxa"/>
                  <w:noWrap w:val="0"/>
                  <w:vAlign w:val="center"/>
                </w:tcPr>
                <w:p w14:paraId="2C2598F0">
                  <w:pPr>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c>
                <w:tcPr>
                  <w:tcW w:w="1432" w:type="dxa"/>
                  <w:noWrap w:val="0"/>
                  <w:vAlign w:val="center"/>
                </w:tcPr>
                <w:p w14:paraId="7BC9205C">
                  <w:pPr>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r>
            <w:tr w14:paraId="2F547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470" w:type="pct"/>
                  <w:tcBorders>
                    <w:right w:val="single" w:color="auto" w:sz="4" w:space="0"/>
                  </w:tcBorders>
                  <w:shd w:val="clear" w:color="auto" w:fill="auto"/>
                  <w:noWrap w:val="0"/>
                  <w:vAlign w:val="center"/>
                </w:tcPr>
                <w:p w14:paraId="2AB82138">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231" w:type="pct"/>
                  <w:tcBorders>
                    <w:left w:val="single" w:color="auto" w:sz="4" w:space="0"/>
                  </w:tcBorders>
                  <w:noWrap w:val="0"/>
                  <w:vAlign w:val="center"/>
                </w:tcPr>
                <w:p w14:paraId="438755AA">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PVC夹网料（万平/a）</w:t>
                  </w:r>
                </w:p>
              </w:tc>
              <w:tc>
                <w:tcPr>
                  <w:tcW w:w="1078" w:type="pct"/>
                  <w:tcBorders>
                    <w:left w:val="single" w:color="auto" w:sz="4" w:space="0"/>
                  </w:tcBorders>
                  <w:noWrap w:val="0"/>
                  <w:vAlign w:val="center"/>
                </w:tcPr>
                <w:p w14:paraId="7FE0B857">
                  <w:pPr>
                    <w:widowControl/>
                    <w:spacing w:line="34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548" w:type="pct"/>
                  <w:shd w:val="clear" w:color="auto" w:fill="auto"/>
                  <w:noWrap w:val="0"/>
                  <w:vAlign w:val="center"/>
                </w:tcPr>
                <w:p w14:paraId="7374CAEF">
                  <w:pPr>
                    <w:widowControl/>
                    <w:spacing w:line="340" w:lineRule="exact"/>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4</w:t>
                  </w:r>
                </w:p>
              </w:tc>
              <w:tc>
                <w:tcPr>
                  <w:tcW w:w="1429" w:type="dxa"/>
                  <w:noWrap w:val="0"/>
                  <w:vAlign w:val="center"/>
                </w:tcPr>
                <w:p w14:paraId="5F707D63">
                  <w:pPr>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c>
                <w:tcPr>
                  <w:tcW w:w="1432" w:type="dxa"/>
                  <w:noWrap w:val="0"/>
                  <w:vAlign w:val="center"/>
                </w:tcPr>
                <w:p w14:paraId="0DFDB865">
                  <w:pPr>
                    <w:jc w:val="center"/>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r>
            <w:tr w14:paraId="005B02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470" w:type="pct"/>
                  <w:tcBorders>
                    <w:right w:val="single" w:color="auto" w:sz="4" w:space="0"/>
                  </w:tcBorders>
                  <w:shd w:val="clear" w:color="auto" w:fill="auto"/>
                  <w:noWrap w:val="0"/>
                  <w:vAlign w:val="center"/>
                </w:tcPr>
                <w:p w14:paraId="6FD2B41D">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231" w:type="pct"/>
                  <w:tcBorders>
                    <w:left w:val="single" w:color="auto" w:sz="4" w:space="0"/>
                  </w:tcBorders>
                  <w:noWrap w:val="0"/>
                  <w:vAlign w:val="center"/>
                </w:tcPr>
                <w:p w14:paraId="4EC00720">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植绒料</w:t>
                  </w:r>
                </w:p>
              </w:tc>
              <w:tc>
                <w:tcPr>
                  <w:tcW w:w="1078" w:type="pct"/>
                  <w:tcBorders>
                    <w:left w:val="single" w:color="auto" w:sz="4" w:space="0"/>
                  </w:tcBorders>
                  <w:noWrap w:val="0"/>
                  <w:vAlign w:val="center"/>
                </w:tcPr>
                <w:p w14:paraId="455B2B13">
                  <w:pPr>
                    <w:jc w:val="center"/>
                    <w:rPr>
                      <w:rFonts w:hint="default" w:ascii="Times New Roman" w:hAnsi="Times New Roman" w:eastAsia="宋体" w:cs="Times New Roman"/>
                      <w:color w:val="auto"/>
                      <w:sz w:val="21"/>
                      <w:szCs w:val="21"/>
                      <w:highlight w:val="none"/>
                      <w:lang w:val="en-US" w:eastAsia="zh-CN"/>
                    </w:rPr>
                  </w:pPr>
                </w:p>
              </w:tc>
              <w:tc>
                <w:tcPr>
                  <w:tcW w:w="548" w:type="pct"/>
                  <w:shd w:val="clear" w:color="auto" w:fill="auto"/>
                  <w:noWrap w:val="0"/>
                  <w:vAlign w:val="center"/>
                </w:tcPr>
                <w:p w14:paraId="3FCAD3C0">
                  <w:pPr>
                    <w:widowControl/>
                    <w:spacing w:line="340" w:lineRule="exact"/>
                    <w:jc w:val="center"/>
                    <w:textAlignment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835" w:type="pct"/>
                  <w:noWrap w:val="0"/>
                  <w:vAlign w:val="center"/>
                </w:tcPr>
                <w:p w14:paraId="3975C09D">
                  <w:pPr>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c>
                <w:tcPr>
                  <w:tcW w:w="836" w:type="pct"/>
                  <w:noWrap w:val="0"/>
                  <w:vAlign w:val="center"/>
                </w:tcPr>
                <w:p w14:paraId="37793B75">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kern w:val="2"/>
                      <w:sz w:val="21"/>
                      <w:szCs w:val="21"/>
                      <w:highlight w:val="none"/>
                      <w:lang w:val="en-US" w:eastAsia="zh-CN" w:bidi="ar-SA"/>
                    </w:rPr>
                    <w:t>/</w:t>
                  </w:r>
                </w:p>
              </w:tc>
            </w:tr>
            <w:tr w14:paraId="360126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470" w:type="pct"/>
                  <w:tcBorders>
                    <w:right w:val="single" w:color="auto" w:sz="4" w:space="0"/>
                  </w:tcBorders>
                  <w:noWrap w:val="0"/>
                  <w:vAlign w:val="center"/>
                </w:tcPr>
                <w:p w14:paraId="523AE144">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231" w:type="pct"/>
                  <w:tcBorders>
                    <w:left w:val="single" w:color="auto" w:sz="4" w:space="0"/>
                  </w:tcBorders>
                  <w:noWrap w:val="0"/>
                  <w:vAlign w:val="center"/>
                </w:tcPr>
                <w:p w14:paraId="19E22A6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UV</w:t>
                  </w:r>
                  <w:r>
                    <w:rPr>
                      <w:rFonts w:hint="default" w:ascii="Times New Roman" w:hAnsi="Times New Roman" w:eastAsia="宋体" w:cs="Times New Roman"/>
                      <w:color w:val="auto"/>
                      <w:sz w:val="21"/>
                      <w:szCs w:val="21"/>
                      <w:highlight w:val="none"/>
                      <w:lang w:val="en-US" w:eastAsia="zh-CN"/>
                    </w:rPr>
                    <w:t>油墨</w:t>
                  </w:r>
                </w:p>
              </w:tc>
              <w:tc>
                <w:tcPr>
                  <w:tcW w:w="1078" w:type="pct"/>
                  <w:tcBorders>
                    <w:left w:val="single" w:color="auto" w:sz="4" w:space="0"/>
                  </w:tcBorders>
                  <w:noWrap w:val="0"/>
                  <w:vAlign w:val="center"/>
                </w:tcPr>
                <w:p w14:paraId="01F697DB">
                  <w:pPr>
                    <w:jc w:val="center"/>
                    <w:rPr>
                      <w:rFonts w:hint="default" w:ascii="Times New Roman" w:hAnsi="Times New Roman" w:eastAsia="宋体" w:cs="Times New Roman"/>
                      <w:color w:val="auto"/>
                      <w:sz w:val="21"/>
                      <w:szCs w:val="21"/>
                      <w:highlight w:val="none"/>
                      <w:lang w:val="en-US" w:eastAsia="zh-CN"/>
                    </w:rPr>
                  </w:pPr>
                </w:p>
              </w:tc>
              <w:tc>
                <w:tcPr>
                  <w:tcW w:w="548" w:type="pct"/>
                  <w:noWrap w:val="0"/>
                  <w:vAlign w:val="center"/>
                </w:tcPr>
                <w:p w14:paraId="7B077305">
                  <w:pPr>
                    <w:widowControl/>
                    <w:spacing w:line="34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835" w:type="pct"/>
                  <w:shd w:val="clear" w:color="auto" w:fill="auto"/>
                  <w:noWrap w:val="0"/>
                  <w:vAlign w:val="center"/>
                </w:tcPr>
                <w:p w14:paraId="40AC0978">
                  <w:pPr>
                    <w:jc w:val="center"/>
                    <w:rPr>
                      <w:rFonts w:hint="default" w:ascii="Times New Roman" w:hAnsi="Times New Roman" w:eastAsia="宋体" w:cs="Times New Roman"/>
                      <w:snapToGrid w:val="0"/>
                      <w:color w:val="000000"/>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c>
                <w:tcPr>
                  <w:tcW w:w="836" w:type="pct"/>
                  <w:shd w:val="clear" w:color="auto" w:fill="auto"/>
                  <w:noWrap w:val="0"/>
                  <w:vAlign w:val="center"/>
                </w:tcPr>
                <w:p w14:paraId="12C9A47C">
                  <w:pPr>
                    <w:jc w:val="center"/>
                    <w:rPr>
                      <w:rFonts w:hint="default"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b/>
                      <w:bCs/>
                      <w:kern w:val="2"/>
                      <w:sz w:val="21"/>
                      <w:szCs w:val="21"/>
                      <w:highlight w:val="none"/>
                      <w:lang w:val="en-US" w:eastAsia="zh-CN" w:bidi="ar-SA"/>
                    </w:rPr>
                    <w:t>/</w:t>
                  </w:r>
                </w:p>
              </w:tc>
            </w:tr>
            <w:tr w14:paraId="6E414A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470" w:type="pct"/>
                  <w:tcBorders>
                    <w:right w:val="single" w:color="auto" w:sz="4" w:space="0"/>
                  </w:tcBorders>
                  <w:noWrap w:val="0"/>
                  <w:vAlign w:val="center"/>
                </w:tcPr>
                <w:p w14:paraId="2E9C2D9A">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231" w:type="pct"/>
                  <w:tcBorders>
                    <w:left w:val="single" w:color="auto" w:sz="4" w:space="0"/>
                  </w:tcBorders>
                  <w:noWrap w:val="0"/>
                  <w:vAlign w:val="center"/>
                </w:tcPr>
                <w:p w14:paraId="4A12711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溶剂油墨</w:t>
                  </w:r>
                </w:p>
              </w:tc>
              <w:tc>
                <w:tcPr>
                  <w:tcW w:w="1078" w:type="pct"/>
                  <w:tcBorders>
                    <w:left w:val="single" w:color="auto" w:sz="4" w:space="0"/>
                  </w:tcBorders>
                  <w:noWrap w:val="0"/>
                  <w:vAlign w:val="center"/>
                </w:tcPr>
                <w:p w14:paraId="272DF6EA">
                  <w:pPr>
                    <w:jc w:val="center"/>
                    <w:rPr>
                      <w:rFonts w:hint="default" w:ascii="Times New Roman" w:hAnsi="Times New Roman" w:eastAsia="宋体" w:cs="Times New Roman"/>
                      <w:color w:val="auto"/>
                      <w:sz w:val="21"/>
                      <w:szCs w:val="21"/>
                      <w:highlight w:val="none"/>
                      <w:lang w:val="en-US" w:eastAsia="zh-CN"/>
                    </w:rPr>
                  </w:pPr>
                </w:p>
              </w:tc>
              <w:tc>
                <w:tcPr>
                  <w:tcW w:w="548" w:type="pct"/>
                  <w:noWrap w:val="0"/>
                  <w:vAlign w:val="center"/>
                </w:tcPr>
                <w:p w14:paraId="00A16594">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835" w:type="pct"/>
                  <w:shd w:val="clear" w:color="auto" w:fill="auto"/>
                  <w:noWrap w:val="0"/>
                  <w:vAlign w:val="center"/>
                </w:tcPr>
                <w:p w14:paraId="7120EE61">
                  <w:pPr>
                    <w:jc w:val="center"/>
                    <w:rPr>
                      <w:rFonts w:hint="eastAsia" w:ascii="Times New Roman" w:hAnsi="Times New Roman" w:eastAsia="宋体" w:cs="Times New Roman"/>
                      <w:snapToGrid w:val="0"/>
                      <w:color w:val="000000"/>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w:t>
                  </w:r>
                </w:p>
              </w:tc>
              <w:tc>
                <w:tcPr>
                  <w:tcW w:w="836" w:type="pct"/>
                  <w:shd w:val="clear" w:color="auto" w:fill="auto"/>
                  <w:noWrap w:val="0"/>
                  <w:vAlign w:val="center"/>
                </w:tcPr>
                <w:p w14:paraId="71C31920">
                  <w:pPr>
                    <w:jc w:val="center"/>
                    <w:rPr>
                      <w:rFonts w:hint="eastAsia" w:ascii="Times New Roman" w:hAnsi="Times New Roman" w:eastAsia="宋体" w:cs="Times New Roman"/>
                      <w:snapToGrid w:val="0"/>
                      <w:color w:val="000000"/>
                      <w:kern w:val="0"/>
                      <w:sz w:val="21"/>
                      <w:szCs w:val="21"/>
                      <w:highlight w:val="none"/>
                      <w:lang w:val="en-US" w:eastAsia="zh-CN"/>
                    </w:rPr>
                  </w:pPr>
                  <w:r>
                    <w:rPr>
                      <w:rFonts w:hint="eastAsia" w:ascii="Times New Roman" w:hAnsi="Times New Roman" w:eastAsia="宋体" w:cs="Times New Roman"/>
                      <w:b/>
                      <w:bCs/>
                      <w:kern w:val="2"/>
                      <w:sz w:val="21"/>
                      <w:szCs w:val="21"/>
                      <w:highlight w:val="none"/>
                      <w:lang w:val="en-US" w:eastAsia="zh-CN" w:bidi="ar-SA"/>
                    </w:rPr>
                    <w:t>/</w:t>
                  </w:r>
                </w:p>
              </w:tc>
            </w:tr>
            <w:tr w14:paraId="5B2B61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1702" w:type="pct"/>
                  <w:gridSpan w:val="2"/>
                  <w:noWrap w:val="0"/>
                  <w:vAlign w:val="center"/>
                </w:tcPr>
                <w:p w14:paraId="4690E4F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1078" w:type="pct"/>
                  <w:tcBorders>
                    <w:left w:val="single" w:color="auto" w:sz="4" w:space="0"/>
                  </w:tcBorders>
                  <w:noWrap w:val="0"/>
                  <w:vAlign w:val="center"/>
                </w:tcPr>
                <w:p w14:paraId="4C52885E">
                  <w:pPr>
                    <w:jc w:val="center"/>
                    <w:rPr>
                      <w:rFonts w:hint="default" w:ascii="Times New Roman" w:hAnsi="Times New Roman" w:eastAsia="宋体" w:cs="Times New Roman"/>
                      <w:color w:val="auto"/>
                      <w:sz w:val="21"/>
                      <w:szCs w:val="21"/>
                      <w:highlight w:val="none"/>
                      <w:lang w:val="en-US" w:eastAsia="zh-CN"/>
                    </w:rPr>
                  </w:pPr>
                </w:p>
              </w:tc>
              <w:tc>
                <w:tcPr>
                  <w:tcW w:w="548" w:type="pct"/>
                  <w:noWrap w:val="0"/>
                  <w:vAlign w:val="center"/>
                </w:tcPr>
                <w:p w14:paraId="36FD2021">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p>
              </w:tc>
              <w:tc>
                <w:tcPr>
                  <w:tcW w:w="1671" w:type="pct"/>
                  <w:gridSpan w:val="2"/>
                  <w:noWrap w:val="0"/>
                  <w:vAlign w:val="center"/>
                </w:tcPr>
                <w:p w14:paraId="3312EBDE">
                  <w:pPr>
                    <w:jc w:val="center"/>
                    <w:rPr>
                      <w:rFonts w:hint="default" w:ascii="Times New Roman" w:hAnsi="Times New Roman" w:eastAsia="宋体" w:cs="Times New Roman"/>
                      <w:sz w:val="21"/>
                      <w:szCs w:val="21"/>
                      <w:highlight w:val="none"/>
                      <w:lang w:val="en-US" w:eastAsia="zh-CN"/>
                    </w:rPr>
                  </w:pPr>
                </w:p>
              </w:tc>
            </w:tr>
          </w:tbl>
          <w:p w14:paraId="3844F1BE">
            <w:pPr>
              <w:jc w:val="center"/>
              <w:rPr>
                <w:highlight w:val="none"/>
              </w:rPr>
            </w:pPr>
          </w:p>
          <w:p w14:paraId="381ABBD3">
            <w:pPr>
              <w:jc w:val="cente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图2</w:t>
            </w:r>
            <w:r>
              <w:rPr>
                <w:rFonts w:hint="eastAsia" w:ascii="Times New Roman" w:hAnsi="Times New Roman" w:eastAsia="宋体" w:cs="Times New Roman"/>
                <w:b/>
                <w:bCs/>
                <w:sz w:val="24"/>
                <w:szCs w:val="24"/>
                <w:highlight w:val="none"/>
                <w:lang w:val="en-US" w:eastAsia="zh-CN"/>
              </w:rPr>
              <w:t>.5-1</w:t>
            </w:r>
            <w:r>
              <w:rPr>
                <w:rFonts w:hint="default" w:ascii="Times New Roman" w:hAnsi="Times New Roman" w:eastAsia="宋体" w:cs="Times New Roman"/>
                <w:b/>
                <w:bCs/>
                <w:sz w:val="24"/>
                <w:szCs w:val="24"/>
                <w:highlight w:val="none"/>
                <w:lang w:val="en-US" w:eastAsia="zh-CN"/>
              </w:rPr>
              <w:t xml:space="preserve"> 物料平衡图 单位：t/a</w:t>
            </w:r>
          </w:p>
          <w:p w14:paraId="55C13285">
            <w:pPr>
              <w:jc w:val="center"/>
              <w:rPr>
                <w:rFonts w:hint="default" w:ascii="Times New Roman" w:hAnsi="Times New Roman" w:eastAsia="宋体" w:cs="Times New Roman"/>
                <w:b/>
                <w:bCs/>
                <w:sz w:val="24"/>
                <w:szCs w:val="24"/>
                <w:highlight w:val="none"/>
                <w:lang w:val="en-US" w:eastAsia="zh-CN"/>
              </w:rPr>
            </w:pPr>
          </w:p>
          <w:p w14:paraId="6523766A">
            <w:pP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2.5.3 产品方案</w:t>
            </w:r>
          </w:p>
          <w:p w14:paraId="11DF22C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lang w:val="en-US" w:eastAsia="zh-CN"/>
              </w:rPr>
              <w:t>委托</w:t>
            </w:r>
            <w:r>
              <w:rPr>
                <w:rFonts w:hint="default" w:ascii="Times New Roman" w:hAnsi="Times New Roman" w:cs="Times New Roman"/>
                <w:color w:val="auto"/>
                <w:sz w:val="24"/>
                <w:highlight w:val="none"/>
              </w:rPr>
              <w:t>单位</w:t>
            </w:r>
            <w:r>
              <w:rPr>
                <w:rFonts w:hint="default" w:ascii="Times New Roman" w:hAnsi="Times New Roman" w:cs="Times New Roman"/>
                <w:color w:val="auto"/>
                <w:sz w:val="24"/>
                <w:highlight w:val="none"/>
                <w:lang w:val="en-US" w:eastAsia="zh-CN"/>
              </w:rPr>
              <w:t>所</w:t>
            </w:r>
            <w:r>
              <w:rPr>
                <w:rFonts w:hint="default" w:ascii="Times New Roman" w:hAnsi="Times New Roman" w:cs="Times New Roman"/>
                <w:color w:val="auto"/>
                <w:sz w:val="24"/>
                <w:highlight w:val="none"/>
              </w:rPr>
              <w:t>提供</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资料，本项目主要产品</w:t>
            </w:r>
            <w:r>
              <w:rPr>
                <w:rFonts w:hint="eastAsia" w:ascii="Times New Roman" w:hAnsi="Times New Roman" w:eastAsia="宋体" w:cs="Times New Roman"/>
                <w:color w:val="auto"/>
                <w:sz w:val="24"/>
                <w:highlight w:val="none"/>
                <w:lang w:val="en-US" w:eastAsia="zh-CN"/>
              </w:rPr>
              <w:t>年产</w:t>
            </w:r>
            <w:r>
              <w:rPr>
                <w:rFonts w:hint="default" w:ascii="Times New Roman" w:hAnsi="Times New Roman" w:cs="Times New Roman"/>
                <w:color w:val="auto"/>
                <w:sz w:val="24"/>
                <w:highlight w:val="none"/>
              </w:rPr>
              <w:t>方案详见表2</w:t>
            </w:r>
            <w:r>
              <w:rPr>
                <w:rFonts w:hint="eastAsia" w:ascii="Times New Roman" w:hAnsi="Times New Roman" w:eastAsia="宋体" w:cs="Times New Roman"/>
                <w:color w:val="auto"/>
                <w:sz w:val="24"/>
                <w:highlight w:val="none"/>
                <w:lang w:val="en-US" w:eastAsia="zh-CN"/>
              </w:rPr>
              <w:t>.5-5</w:t>
            </w:r>
            <w:r>
              <w:rPr>
                <w:rFonts w:hint="default" w:ascii="Times New Roman" w:hAnsi="Times New Roman" w:cs="Times New Roman"/>
                <w:color w:val="auto"/>
                <w:sz w:val="24"/>
                <w:highlight w:val="none"/>
              </w:rPr>
              <w:t>。</w:t>
            </w:r>
          </w:p>
          <w:p w14:paraId="6BDE25BE">
            <w:pPr>
              <w:snapToGrid w:val="0"/>
              <w:spacing w:line="360" w:lineRule="auto"/>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.5-5</w:t>
            </w:r>
            <w:r>
              <w:rPr>
                <w:rFonts w:hint="default" w:ascii="Times New Roman" w:hAnsi="Times New Roman" w:cs="Times New Roman"/>
                <w:b/>
                <w:color w:val="auto"/>
                <w:sz w:val="24"/>
                <w:highlight w:val="none"/>
              </w:rPr>
              <w:t xml:space="preserve"> 本项目产品方案说明表</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2977"/>
              <w:gridCol w:w="3672"/>
            </w:tblGrid>
            <w:tr w14:paraId="05807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30" w:type="pct"/>
                  <w:noWrap w:val="0"/>
                  <w:vAlign w:val="center"/>
                </w:tcPr>
                <w:p w14:paraId="318FE454">
                  <w:pPr>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77" w:type="pct"/>
                  <w:noWrap w:val="0"/>
                  <w:vAlign w:val="center"/>
                </w:tcPr>
                <w:p w14:paraId="1706C596">
                  <w:pPr>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2192" w:type="pct"/>
                  <w:noWrap w:val="0"/>
                  <w:vAlign w:val="center"/>
                </w:tcPr>
                <w:p w14:paraId="288A36DA">
                  <w:pPr>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产品产量</w:t>
                  </w:r>
                </w:p>
              </w:tc>
            </w:tr>
            <w:tr w14:paraId="282C1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30" w:type="pct"/>
                  <w:noWrap w:val="0"/>
                  <w:vAlign w:val="center"/>
                </w:tcPr>
                <w:p w14:paraId="53FFF4C1">
                  <w:pPr>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77" w:type="pct"/>
                  <w:noWrap w:val="0"/>
                  <w:vAlign w:val="center"/>
                </w:tcPr>
                <w:p w14:paraId="4F875263">
                  <w:pPr>
                    <w:pStyle w:val="10"/>
                    <w:spacing w:line="360" w:lineRule="atLeas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充气床</w:t>
                  </w:r>
                </w:p>
              </w:tc>
              <w:tc>
                <w:tcPr>
                  <w:tcW w:w="2192" w:type="pct"/>
                  <w:noWrap w:val="0"/>
                  <w:vAlign w:val="center"/>
                </w:tcPr>
                <w:p w14:paraId="352A3127">
                  <w:pPr>
                    <w:pStyle w:val="10"/>
                    <w:spacing w:line="360" w:lineRule="atLeas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万</w:t>
                  </w:r>
                  <w:r>
                    <w:rPr>
                      <w:rFonts w:hint="default" w:ascii="Times New Roman" w:hAnsi="Times New Roman" w:cs="Times New Roman"/>
                      <w:color w:val="auto"/>
                      <w:szCs w:val="21"/>
                      <w:highlight w:val="none"/>
                      <w:lang w:val="en-US" w:eastAsia="zh-CN"/>
                    </w:rPr>
                    <w:t>个</w:t>
                  </w:r>
                  <w:r>
                    <w:rPr>
                      <w:rFonts w:hint="default" w:ascii="Times New Roman" w:hAnsi="Times New Roman" w:cs="Times New Roman"/>
                      <w:color w:val="auto"/>
                      <w:szCs w:val="21"/>
                      <w:highlight w:val="none"/>
                    </w:rPr>
                    <w:t>/年</w:t>
                  </w:r>
                </w:p>
              </w:tc>
            </w:tr>
            <w:tr w14:paraId="5B97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30" w:type="pct"/>
                  <w:noWrap w:val="0"/>
                  <w:vAlign w:val="center"/>
                </w:tcPr>
                <w:p w14:paraId="57AF5C96">
                  <w:pPr>
                    <w:spacing w:line="3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1777" w:type="pct"/>
                  <w:noWrap w:val="0"/>
                  <w:vAlign w:val="center"/>
                </w:tcPr>
                <w:p w14:paraId="10D3F3A9">
                  <w:pPr>
                    <w:pStyle w:val="10"/>
                    <w:spacing w:line="360" w:lineRule="atLeas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露营垫</w:t>
                  </w:r>
                </w:p>
              </w:tc>
              <w:tc>
                <w:tcPr>
                  <w:tcW w:w="2192" w:type="pct"/>
                  <w:noWrap w:val="0"/>
                  <w:vAlign w:val="center"/>
                </w:tcPr>
                <w:p w14:paraId="4EA98321">
                  <w:pPr>
                    <w:pStyle w:val="10"/>
                    <w:spacing w:line="360" w:lineRule="atLeas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30万个/年</w:t>
                  </w:r>
                </w:p>
              </w:tc>
            </w:tr>
            <w:tr w14:paraId="15293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30" w:type="pct"/>
                  <w:noWrap w:val="0"/>
                  <w:vAlign w:val="center"/>
                </w:tcPr>
                <w:p w14:paraId="670846F0">
                  <w:pPr>
                    <w:spacing w:line="3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1777" w:type="pct"/>
                  <w:noWrap w:val="0"/>
                  <w:vAlign w:val="center"/>
                </w:tcPr>
                <w:p w14:paraId="321563E2">
                  <w:pPr>
                    <w:pStyle w:val="10"/>
                    <w:spacing w:line="360" w:lineRule="atLeast"/>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箱包</w:t>
                  </w:r>
                </w:p>
              </w:tc>
              <w:tc>
                <w:tcPr>
                  <w:tcW w:w="2192" w:type="pct"/>
                  <w:noWrap w:val="0"/>
                  <w:vAlign w:val="center"/>
                </w:tcPr>
                <w:p w14:paraId="43D2AE8F">
                  <w:pPr>
                    <w:pStyle w:val="10"/>
                    <w:spacing w:line="360" w:lineRule="atLeas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15万个/年</w:t>
                  </w:r>
                </w:p>
              </w:tc>
            </w:tr>
          </w:tbl>
          <w:p w14:paraId="61B36C97">
            <w:pPr>
              <w:spacing w:line="360" w:lineRule="auto"/>
              <w:rPr>
                <w:rFonts w:hint="default" w:ascii="Times New Roman" w:hAnsi="Times New Roman" w:eastAsia="宋体" w:cs="Times New Roman"/>
                <w:b/>
                <w:bCs/>
                <w:color w:val="auto"/>
                <w:sz w:val="28"/>
                <w:szCs w:val="22"/>
                <w:highlight w:val="none"/>
                <w:lang w:val="en-US" w:eastAsia="zh-CN"/>
              </w:rPr>
            </w:pPr>
            <w:r>
              <w:rPr>
                <w:rFonts w:hint="default" w:ascii="Times New Roman" w:hAnsi="Times New Roman" w:eastAsia="宋体" w:cs="Times New Roman"/>
                <w:b/>
                <w:bCs/>
                <w:color w:val="auto"/>
                <w:sz w:val="28"/>
                <w:szCs w:val="22"/>
                <w:highlight w:val="none"/>
                <w:lang w:val="en-US" w:eastAsia="zh-CN"/>
              </w:rPr>
              <w:t>2.6 项目用水分析</w:t>
            </w:r>
          </w:p>
          <w:p w14:paraId="1463773F">
            <w:pPr>
              <w:spacing w:line="360" w:lineRule="auto"/>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2.6.1 项目给排水</w:t>
            </w:r>
          </w:p>
          <w:p w14:paraId="6C8F1FC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auto"/>
                <w:sz w:val="24"/>
                <w:szCs w:val="21"/>
                <w:highlight w:val="none"/>
                <w:lang w:val="en-US" w:eastAsia="zh-CN"/>
              </w:rPr>
            </w:pPr>
            <w:r>
              <w:rPr>
                <w:rFonts w:hint="default" w:ascii="Times New Roman" w:hAnsi="Times New Roman" w:eastAsia="宋体" w:cs="Times New Roman"/>
                <w:b w:val="0"/>
                <w:bCs w:val="0"/>
                <w:color w:val="auto"/>
                <w:sz w:val="24"/>
                <w:szCs w:val="21"/>
                <w:highlight w:val="none"/>
                <w:lang w:val="en-US" w:eastAsia="zh-CN"/>
              </w:rPr>
              <w:t>本项目通过市政给水管网供给用水，主要用水为员工日常的生活用水，用水量为</w:t>
            </w:r>
            <w:r>
              <w:rPr>
                <w:rFonts w:hint="eastAsia" w:ascii="Times New Roman" w:hAnsi="Times New Roman" w:eastAsia="宋体" w:cs="Times New Roman"/>
                <w:b w:val="0"/>
                <w:bCs w:val="0"/>
                <w:color w:val="auto"/>
                <w:sz w:val="24"/>
                <w:szCs w:val="21"/>
                <w:highlight w:val="none"/>
                <w:lang w:val="en-US" w:eastAsia="zh-CN"/>
              </w:rPr>
              <w:t>1248</w:t>
            </w:r>
            <w:r>
              <w:rPr>
                <w:rFonts w:hint="default" w:ascii="Times New Roman" w:hAnsi="Times New Roman" w:eastAsia="宋体" w:cs="Times New Roman"/>
                <w:b w:val="0"/>
                <w:bCs w:val="0"/>
                <w:color w:val="auto"/>
                <w:sz w:val="24"/>
                <w:szCs w:val="21"/>
                <w:highlight w:val="none"/>
                <w:lang w:val="en-US" w:eastAsia="zh-CN"/>
              </w:rPr>
              <w:t>t/a。项目排水系统采用雨、污分流。项目生活污水</w:t>
            </w:r>
            <w:r>
              <w:rPr>
                <w:rFonts w:hint="eastAsia" w:ascii="Times New Roman" w:hAnsi="Times New Roman" w:eastAsia="宋体" w:cs="Times New Roman"/>
                <w:b w:val="0"/>
                <w:bCs w:val="0"/>
                <w:color w:val="auto"/>
                <w:sz w:val="24"/>
                <w:szCs w:val="21"/>
                <w:highlight w:val="none"/>
                <w:lang w:val="en-US" w:eastAsia="zh-CN"/>
              </w:rPr>
              <w:t>依托出租方</w:t>
            </w:r>
            <w:r>
              <w:rPr>
                <w:rFonts w:hint="default" w:ascii="Times New Roman" w:hAnsi="Times New Roman" w:eastAsia="宋体" w:cs="Times New Roman"/>
                <w:b w:val="0"/>
                <w:bCs w:val="0"/>
                <w:color w:val="auto"/>
                <w:sz w:val="24"/>
                <w:szCs w:val="21"/>
                <w:highlight w:val="none"/>
                <w:lang w:val="en-US" w:eastAsia="zh-CN"/>
              </w:rPr>
              <w:t>化粪池处理后接入市政污水管网，纳入</w:t>
            </w:r>
            <w:r>
              <w:rPr>
                <w:rFonts w:hint="eastAsia" w:ascii="Times New Roman" w:hAnsi="Times New Roman" w:eastAsia="宋体" w:cs="Times New Roman"/>
                <w:b w:val="0"/>
                <w:bCs w:val="0"/>
                <w:color w:val="auto"/>
                <w:sz w:val="24"/>
                <w:szCs w:val="21"/>
                <w:highlight w:val="none"/>
                <w:lang w:val="en-US" w:eastAsia="zh-CN"/>
              </w:rPr>
              <w:t>蓬壶镇污水处理厂</w:t>
            </w:r>
            <w:r>
              <w:rPr>
                <w:rFonts w:hint="default" w:ascii="Times New Roman" w:hAnsi="Times New Roman" w:eastAsia="宋体" w:cs="Times New Roman"/>
                <w:b w:val="0"/>
                <w:bCs w:val="0"/>
                <w:color w:val="auto"/>
                <w:sz w:val="24"/>
                <w:szCs w:val="21"/>
                <w:highlight w:val="none"/>
                <w:lang w:val="en-US" w:eastAsia="zh-CN"/>
              </w:rPr>
              <w:t>深度处理；雨水经收集后就近排入市政雨水管网。</w:t>
            </w:r>
          </w:p>
          <w:p w14:paraId="1FBBDD0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1"/>
                <w:highlight w:val="none"/>
                <w:lang w:val="en-US" w:eastAsia="zh-CN"/>
              </w:rPr>
              <w:t>2.6.2 用水平衡</w:t>
            </w:r>
          </w:p>
          <w:p w14:paraId="34E527B5">
            <w:pPr>
              <w:pStyle w:val="15"/>
              <w:keepNext w:val="0"/>
              <w:keepLines w:val="0"/>
              <w:pageBreakBefore w:val="0"/>
              <w:widowControl/>
              <w:kinsoku w:val="0"/>
              <w:wordWrap/>
              <w:overflowPunct/>
              <w:topLinePunct w:val="0"/>
              <w:autoSpaceDE w:val="0"/>
              <w:autoSpaceDN w:val="0"/>
              <w:bidi w:val="0"/>
              <w:adjustRightInd w:val="0"/>
              <w:snapToGrid w:val="0"/>
              <w:spacing w:line="360" w:lineRule="auto"/>
              <w:ind w:right="113"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rPr>
              <w:t>本项目的用水主要为生活用水根据项目规划，职工约</w:t>
            </w:r>
            <w:r>
              <w:rPr>
                <w:rFonts w:hint="default" w:ascii="Times New Roman" w:hAnsi="Times New Roman" w:cs="Times New Roman"/>
                <w:color w:val="auto"/>
                <w:kern w:val="2"/>
                <w:sz w:val="24"/>
                <w:szCs w:val="24"/>
                <w:highlight w:val="none"/>
                <w:lang w:val="en-US" w:eastAsia="zh-CN"/>
              </w:rPr>
              <w:t>50</w:t>
            </w:r>
            <w:r>
              <w:rPr>
                <w:rFonts w:hint="default" w:ascii="Times New Roman" w:hAnsi="Times New Roman" w:cs="Times New Roman"/>
                <w:color w:val="auto"/>
                <w:kern w:val="2"/>
                <w:sz w:val="24"/>
                <w:szCs w:val="24"/>
                <w:highlight w:val="none"/>
              </w:rPr>
              <w:t>人，均不住厂，年工作日</w:t>
            </w:r>
            <w:r>
              <w:rPr>
                <w:rFonts w:hint="default" w:ascii="Times New Roman" w:hAnsi="Times New Roman" w:cs="Times New Roman"/>
                <w:color w:val="auto"/>
                <w:kern w:val="2"/>
                <w:sz w:val="24"/>
                <w:szCs w:val="24"/>
                <w:highlight w:val="none"/>
                <w:lang w:val="en-US" w:eastAsia="zh-CN"/>
              </w:rPr>
              <w:t>312</w:t>
            </w:r>
            <w:r>
              <w:rPr>
                <w:rFonts w:hint="default" w:ascii="Times New Roman" w:hAnsi="Times New Roman" w:cs="Times New Roman"/>
                <w:color w:val="auto"/>
                <w:kern w:val="2"/>
                <w:sz w:val="24"/>
                <w:szCs w:val="24"/>
                <w:highlight w:val="none"/>
              </w:rPr>
              <w:t>天，参照《室外给水设计规范》（</w:t>
            </w:r>
            <w:r>
              <w:rPr>
                <w:rFonts w:hint="eastAsia" w:ascii="Times New Roman" w:hAnsi="Times New Roman" w:eastAsia="宋体" w:cs="Times New Roman"/>
                <w:color w:val="auto"/>
                <w:kern w:val="2"/>
                <w:sz w:val="24"/>
                <w:szCs w:val="24"/>
                <w:highlight w:val="none"/>
                <w:lang w:eastAsia="zh-CN"/>
              </w:rPr>
              <w:t>GB 50013-2018</w:t>
            </w:r>
            <w:r>
              <w:rPr>
                <w:rFonts w:hint="default" w:ascii="Times New Roman" w:hAnsi="Times New Roman" w:cs="Times New Roman"/>
                <w:color w:val="auto"/>
                <w:kern w:val="2"/>
                <w:sz w:val="24"/>
                <w:szCs w:val="24"/>
                <w:highlight w:val="none"/>
              </w:rPr>
              <w:t>）及《室外排水设计规范》（</w:t>
            </w:r>
            <w:r>
              <w:rPr>
                <w:rFonts w:hint="eastAsia" w:ascii="Times New Roman" w:hAnsi="Times New Roman" w:eastAsia="宋体" w:cs="Times New Roman"/>
                <w:color w:val="auto"/>
                <w:kern w:val="2"/>
                <w:sz w:val="24"/>
                <w:szCs w:val="24"/>
                <w:highlight w:val="none"/>
                <w:lang w:eastAsia="zh-CN"/>
              </w:rPr>
              <w:t>GB 50014-2021</w:t>
            </w:r>
            <w:r>
              <w:rPr>
                <w:rFonts w:hint="default" w:ascii="Times New Roman" w:hAnsi="Times New Roman" w:cs="Times New Roman"/>
                <w:color w:val="auto"/>
                <w:kern w:val="2"/>
                <w:sz w:val="24"/>
                <w:szCs w:val="24"/>
                <w:highlight w:val="none"/>
              </w:rPr>
              <w:t>），不住宿生活用水定额</w:t>
            </w:r>
            <w:r>
              <w:rPr>
                <w:rFonts w:hint="eastAsia" w:ascii="Times New Roman" w:hAnsi="Times New Roman" w:eastAsia="宋体" w:cs="Times New Roman"/>
                <w:color w:val="auto"/>
                <w:kern w:val="2"/>
                <w:sz w:val="24"/>
                <w:szCs w:val="24"/>
                <w:highlight w:val="none"/>
                <w:lang w:val="en-US" w:eastAsia="zh-CN"/>
              </w:rPr>
              <w:t>按</w:t>
            </w:r>
            <w:r>
              <w:rPr>
                <w:rFonts w:hint="default" w:ascii="Times New Roman" w:hAnsi="Times New Roman" w:cs="Times New Roman"/>
                <w:color w:val="auto"/>
                <w:kern w:val="2"/>
                <w:sz w:val="24"/>
                <w:szCs w:val="24"/>
                <w:highlight w:val="none"/>
              </w:rPr>
              <w:t>80L/人·天，则生活用水量为</w:t>
            </w:r>
            <w:r>
              <w:rPr>
                <w:rFonts w:hint="default" w:ascii="Times New Roman" w:hAnsi="Times New Roman"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lang w:val="en-US" w:eastAsia="zh-CN"/>
              </w:rPr>
              <w:t>t</w:t>
            </w:r>
            <w:r>
              <w:rPr>
                <w:rFonts w:hint="default" w:ascii="Times New Roman" w:hAnsi="Times New Roman" w:cs="Times New Roman"/>
                <w:color w:val="auto"/>
                <w:kern w:val="2"/>
                <w:sz w:val="24"/>
                <w:szCs w:val="24"/>
                <w:highlight w:val="none"/>
              </w:rPr>
              <w:t>/d（即</w:t>
            </w:r>
            <w:r>
              <w:rPr>
                <w:rFonts w:hint="default" w:ascii="Times New Roman" w:hAnsi="Times New Roman" w:cs="Times New Roman"/>
                <w:color w:val="auto"/>
                <w:kern w:val="2"/>
                <w:sz w:val="24"/>
                <w:szCs w:val="24"/>
                <w:highlight w:val="none"/>
                <w:lang w:val="en-US" w:eastAsia="zh-CN"/>
              </w:rPr>
              <w:t>12</w:t>
            </w:r>
            <w:r>
              <w:rPr>
                <w:rFonts w:hint="eastAsia" w:ascii="Times New Roman" w:hAnsi="Times New Roman" w:cs="Times New Roman"/>
                <w:color w:val="auto"/>
                <w:kern w:val="2"/>
                <w:sz w:val="24"/>
                <w:szCs w:val="24"/>
                <w:highlight w:val="none"/>
                <w:lang w:val="en-US" w:eastAsia="zh-CN"/>
              </w:rPr>
              <w:t>48</w:t>
            </w:r>
            <w:r>
              <w:rPr>
                <w:rFonts w:hint="default" w:ascii="Times New Roman" w:hAnsi="Times New Roman" w:cs="Times New Roman"/>
                <w:color w:val="auto"/>
                <w:kern w:val="2"/>
                <w:sz w:val="24"/>
                <w:szCs w:val="24"/>
                <w:highlight w:val="none"/>
              </w:rPr>
              <w:t>t/a），排放系数按0.8</w:t>
            </w:r>
            <w:r>
              <w:rPr>
                <w:rFonts w:hint="eastAsia" w:ascii="Times New Roman" w:hAnsi="Times New Roman" w:eastAsia="宋体" w:cs="Times New Roman"/>
                <w:color w:val="auto"/>
                <w:kern w:val="2"/>
                <w:sz w:val="24"/>
                <w:szCs w:val="24"/>
                <w:highlight w:val="none"/>
                <w:lang w:val="en-US" w:eastAsia="zh-CN"/>
              </w:rPr>
              <w:t>5</w:t>
            </w:r>
            <w:r>
              <w:rPr>
                <w:rFonts w:hint="default" w:ascii="Times New Roman" w:hAnsi="Times New Roman" w:cs="Times New Roman"/>
                <w:color w:val="auto"/>
                <w:kern w:val="2"/>
                <w:sz w:val="24"/>
                <w:szCs w:val="24"/>
                <w:highlight w:val="none"/>
              </w:rPr>
              <w:t xml:space="preserve"> 计，则生活污水排放量为</w:t>
            </w:r>
            <w:r>
              <w:rPr>
                <w:rFonts w:hint="eastAsia" w:ascii="Times New Roman" w:hAnsi="Times New Roman" w:cs="Times New Roman"/>
                <w:color w:val="auto"/>
                <w:kern w:val="2"/>
                <w:sz w:val="24"/>
                <w:szCs w:val="24"/>
                <w:highlight w:val="none"/>
                <w:lang w:val="en-US" w:eastAsia="zh-CN"/>
              </w:rPr>
              <w:t>3.4</w:t>
            </w:r>
            <w:r>
              <w:rPr>
                <w:rFonts w:hint="default" w:ascii="Times New Roman" w:hAnsi="Times New Roman" w:eastAsia="宋体" w:cs="Times New Roman"/>
                <w:color w:val="auto"/>
                <w:kern w:val="2"/>
                <w:sz w:val="24"/>
                <w:szCs w:val="24"/>
                <w:highlight w:val="none"/>
                <w:lang w:val="en-US" w:eastAsia="zh-CN"/>
              </w:rPr>
              <w:t>t</w:t>
            </w:r>
            <w:r>
              <w:rPr>
                <w:rFonts w:hint="default" w:ascii="Times New Roman" w:hAnsi="Times New Roman" w:cs="Times New Roman"/>
                <w:color w:val="auto"/>
                <w:kern w:val="2"/>
                <w:sz w:val="24"/>
                <w:szCs w:val="24"/>
                <w:highlight w:val="none"/>
              </w:rPr>
              <w:t>/d，（即</w:t>
            </w:r>
            <w:r>
              <w:rPr>
                <w:rFonts w:hint="eastAsia" w:ascii="Times New Roman" w:hAnsi="Times New Roman" w:cs="Times New Roman"/>
                <w:color w:val="auto"/>
                <w:kern w:val="2"/>
                <w:sz w:val="24"/>
                <w:szCs w:val="24"/>
                <w:highlight w:val="none"/>
                <w:lang w:val="en-US" w:eastAsia="zh-CN"/>
              </w:rPr>
              <w:t>1060.8</w:t>
            </w:r>
            <w:r>
              <w:rPr>
                <w:rFonts w:hint="default" w:ascii="Times New Roman" w:hAnsi="Times New Roman" w:cs="Times New Roman"/>
                <w:color w:val="auto"/>
                <w:kern w:val="2"/>
                <w:sz w:val="24"/>
                <w:szCs w:val="24"/>
                <w:highlight w:val="none"/>
              </w:rPr>
              <w:t>t/a）。本项目生活污水</w:t>
            </w:r>
            <w:r>
              <w:rPr>
                <w:rFonts w:hint="eastAsia" w:ascii="Times New Roman" w:hAnsi="Times New Roman" w:eastAsia="宋体" w:cs="Times New Roman"/>
                <w:color w:val="auto"/>
                <w:kern w:val="2"/>
                <w:sz w:val="24"/>
                <w:szCs w:val="24"/>
                <w:highlight w:val="none"/>
                <w:lang w:val="en-US" w:eastAsia="zh-CN"/>
              </w:rPr>
              <w:t>依托出租方化粪池</w:t>
            </w:r>
            <w:r>
              <w:rPr>
                <w:rFonts w:hint="default" w:ascii="Times New Roman" w:hAnsi="Times New Roman" w:cs="Times New Roman"/>
                <w:color w:val="auto"/>
                <w:kern w:val="2"/>
                <w:sz w:val="24"/>
                <w:szCs w:val="24"/>
                <w:highlight w:val="none"/>
              </w:rPr>
              <w:t>处理达到《污水综合排放标准》（</w:t>
            </w:r>
            <w:r>
              <w:rPr>
                <w:rFonts w:hint="eastAsia" w:ascii="Times New Roman" w:hAnsi="Times New Roman" w:eastAsia="宋体" w:cs="Times New Roman"/>
                <w:color w:val="auto"/>
                <w:kern w:val="2"/>
                <w:sz w:val="24"/>
                <w:szCs w:val="24"/>
                <w:highlight w:val="none"/>
                <w:lang w:eastAsia="zh-CN"/>
              </w:rPr>
              <w:t>GB 8978-1996</w:t>
            </w:r>
            <w:r>
              <w:rPr>
                <w:rFonts w:hint="default" w:ascii="Times New Roman" w:hAnsi="Times New Roman" w:cs="Times New Roman"/>
                <w:color w:val="auto"/>
                <w:kern w:val="2"/>
                <w:sz w:val="24"/>
                <w:szCs w:val="24"/>
                <w:highlight w:val="none"/>
              </w:rPr>
              <w:t>）表4中的三级标准</w:t>
            </w:r>
            <w:r>
              <w:rPr>
                <w:rFonts w:hint="eastAsia" w:ascii="Times New Roman" w:hAnsi="Times New Roman" w:eastAsia="宋体"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其中NH</w:t>
            </w:r>
            <w:r>
              <w:rPr>
                <w:rFonts w:hint="default" w:ascii="Times New Roman" w:hAnsi="Times New Roman" w:cs="Times New Roman"/>
                <w:color w:val="auto"/>
                <w:kern w:val="2"/>
                <w:sz w:val="24"/>
                <w:szCs w:val="24"/>
                <w:highlight w:val="none"/>
                <w:vertAlign w:val="subscript"/>
              </w:rPr>
              <w:t>3</w:t>
            </w:r>
            <w:r>
              <w:rPr>
                <w:rFonts w:hint="default" w:ascii="Times New Roman" w:hAnsi="Times New Roman" w:cs="Times New Roman"/>
                <w:color w:val="auto"/>
                <w:kern w:val="2"/>
                <w:sz w:val="24"/>
                <w:szCs w:val="24"/>
                <w:highlight w:val="none"/>
              </w:rPr>
              <w:t>-N</w:t>
            </w:r>
            <w:r>
              <w:rPr>
                <w:rFonts w:hint="eastAsia" w:ascii="Times New Roman" w:hAnsi="Times New Roman" w:eastAsia="宋体" w:cs="Times New Roman"/>
                <w:color w:val="auto"/>
                <w:kern w:val="2"/>
                <w:sz w:val="24"/>
                <w:szCs w:val="24"/>
                <w:highlight w:val="none"/>
                <w:lang w:val="en-US" w:eastAsia="zh-CN"/>
              </w:rPr>
              <w:t>处理达到</w:t>
            </w:r>
            <w:r>
              <w:rPr>
                <w:rFonts w:hint="default" w:ascii="Times New Roman" w:hAnsi="Times New Roman" w:cs="Times New Roman"/>
                <w:color w:val="auto"/>
                <w:kern w:val="2"/>
                <w:sz w:val="24"/>
                <w:szCs w:val="24"/>
                <w:highlight w:val="none"/>
              </w:rPr>
              <w:t>《污水排入城镇下水道水质标准》</w:t>
            </w:r>
            <w:r>
              <w:rPr>
                <w:rFonts w:hint="eastAsia" w:ascii="Times New Roman" w:hAnsi="Times New Roman" w:eastAsia="宋体" w:cs="Times New Roman"/>
                <w:color w:val="auto"/>
                <w:kern w:val="2"/>
                <w:sz w:val="24"/>
                <w:szCs w:val="24"/>
                <w:highlight w:val="none"/>
                <w:lang w:eastAsia="zh-CN"/>
              </w:rPr>
              <w:t>（GB/T 31962-2015）</w:t>
            </w:r>
            <w:r>
              <w:rPr>
                <w:rFonts w:hint="default" w:ascii="Times New Roman" w:hAnsi="Times New Roman" w:cs="Times New Roman"/>
                <w:color w:val="auto"/>
                <w:kern w:val="2"/>
                <w:sz w:val="24"/>
                <w:szCs w:val="24"/>
                <w:highlight w:val="none"/>
              </w:rPr>
              <w:t>表1 B等级标准</w:t>
            </w:r>
            <w:r>
              <w:rPr>
                <w:rFonts w:hint="eastAsia" w:ascii="Times New Roman" w:hAnsi="Times New Roman" w:eastAsia="宋体"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后，通过项目区市政污水管网纳入</w:t>
            </w:r>
            <w:r>
              <w:rPr>
                <w:rFonts w:hint="eastAsia" w:ascii="Times New Roman" w:hAnsi="Times New Roman" w:cs="Times New Roman"/>
                <w:color w:val="auto"/>
                <w:kern w:val="2"/>
                <w:sz w:val="24"/>
                <w:szCs w:val="24"/>
                <w:highlight w:val="none"/>
                <w:lang w:val="en-US" w:eastAsia="zh-CN"/>
              </w:rPr>
              <w:t>蓬壶镇污水处理厂</w:t>
            </w:r>
            <w:r>
              <w:rPr>
                <w:rFonts w:hint="default" w:ascii="Times New Roman" w:hAnsi="Times New Roman" w:cs="Times New Roman"/>
                <w:color w:val="auto"/>
                <w:kern w:val="2"/>
                <w:sz w:val="24"/>
                <w:szCs w:val="24"/>
                <w:highlight w:val="none"/>
              </w:rPr>
              <w:t>集中处理。本项目</w:t>
            </w:r>
            <w:r>
              <w:rPr>
                <w:rFonts w:hint="default" w:ascii="Times New Roman" w:hAnsi="Times New Roman" w:cs="Times New Roman"/>
                <w:color w:val="auto"/>
                <w:kern w:val="2"/>
                <w:sz w:val="24"/>
                <w:szCs w:val="24"/>
                <w:highlight w:val="none"/>
                <w:lang w:val="en-US" w:eastAsia="zh-CN"/>
              </w:rPr>
              <w:t>具体</w:t>
            </w:r>
            <w:r>
              <w:rPr>
                <w:rFonts w:hint="default" w:ascii="Times New Roman" w:hAnsi="Times New Roman" w:cs="Times New Roman"/>
                <w:color w:val="auto"/>
                <w:kern w:val="2"/>
                <w:sz w:val="24"/>
                <w:szCs w:val="24"/>
                <w:highlight w:val="none"/>
              </w:rPr>
              <w:t>水平衡图见图2</w:t>
            </w:r>
            <w:r>
              <w:rPr>
                <w:rFonts w:hint="eastAsia" w:ascii="Times New Roman" w:hAnsi="Times New Roman" w:eastAsia="宋体" w:cs="Times New Roman"/>
                <w:color w:val="auto"/>
                <w:kern w:val="2"/>
                <w:sz w:val="24"/>
                <w:szCs w:val="24"/>
                <w:highlight w:val="none"/>
                <w:lang w:val="en-US" w:eastAsia="zh-CN"/>
              </w:rPr>
              <w:t>.6-1</w:t>
            </w:r>
            <w:r>
              <w:rPr>
                <w:rFonts w:hint="default" w:ascii="Times New Roman" w:hAnsi="Times New Roman" w:eastAsia="宋体" w:cs="Times New Roman"/>
                <w:color w:val="auto"/>
                <w:kern w:val="2"/>
                <w:sz w:val="24"/>
                <w:szCs w:val="24"/>
                <w:highlight w:val="none"/>
                <w:lang w:val="en-US" w:eastAsia="zh-CN"/>
              </w:rPr>
              <w:t>。</w:t>
            </w:r>
          </w:p>
          <w:p w14:paraId="7166D9AB">
            <w:pPr>
              <w:rPr>
                <w:rFonts w:hint="default"/>
                <w:highlight w:val="none"/>
                <w:lang w:val="en-US" w:eastAsia="zh-CN"/>
              </w:rPr>
            </w:pPr>
          </w:p>
          <w:p w14:paraId="037F811D">
            <w:pPr>
              <w:tabs>
                <w:tab w:val="left" w:pos="340"/>
              </w:tabs>
              <w:spacing w:line="360" w:lineRule="auto"/>
              <w:ind w:right="120"/>
              <w:jc w:val="center"/>
              <w:rPr>
                <w:rFonts w:hint="default" w:ascii="Times New Roman" w:hAnsi="Times New Roman" w:cs="Times New Roman"/>
                <w:color w:val="auto"/>
                <w:highlight w:val="none"/>
              </w:rPr>
            </w:pPr>
            <w:r>
              <w:rPr>
                <w:rFonts w:hint="default" w:ascii="Times New Roman" w:hAnsi="Times New Roman" w:cs="Times New Roman"/>
                <w:b/>
                <w:color w:val="auto"/>
                <w:sz w:val="24"/>
                <w:highlight w:val="none"/>
              </w:rPr>
              <w:t>图</w:t>
            </w:r>
            <w:r>
              <w:rPr>
                <w:rFonts w:hint="default" w:ascii="Times New Roman" w:hAnsi="Times New Roman" w:eastAsia="Times New Roman" w:cs="Times New Roman"/>
                <w:b/>
                <w:color w:val="auto"/>
                <w:sz w:val="24"/>
                <w:highlight w:val="none"/>
              </w:rPr>
              <w:t xml:space="preserve"> </w:t>
            </w:r>
            <w:r>
              <w:rPr>
                <w:rFonts w:hint="default" w:ascii="Times New Roman" w:hAnsi="Times New Roman" w:cs="Times New Roman"/>
                <w:b/>
                <w:color w:val="auto"/>
                <w:sz w:val="24"/>
                <w:highlight w:val="none"/>
              </w:rPr>
              <w:t>2</w:t>
            </w:r>
            <w:r>
              <w:rPr>
                <w:rFonts w:hint="eastAsia" w:ascii="Times New Roman" w:hAnsi="Times New Roman" w:eastAsia="宋体" w:cs="Times New Roman"/>
                <w:b/>
                <w:color w:val="auto"/>
                <w:sz w:val="24"/>
                <w:highlight w:val="none"/>
                <w:lang w:val="en-US" w:eastAsia="zh-CN"/>
              </w:rPr>
              <w:t>.6-1</w:t>
            </w:r>
            <w:r>
              <w:rPr>
                <w:rFonts w:hint="default" w:ascii="Times New Roman" w:hAnsi="Times New Roman" w:eastAsia="Times New Roman" w:cs="Times New Roman"/>
                <w:b/>
                <w:color w:val="auto"/>
                <w:sz w:val="24"/>
                <w:highlight w:val="none"/>
              </w:rPr>
              <w:t xml:space="preserve"> </w:t>
            </w:r>
            <w:r>
              <w:rPr>
                <w:rFonts w:hint="default" w:ascii="Times New Roman" w:hAnsi="Times New Roman" w:cs="Times New Roman"/>
                <w:b/>
                <w:color w:val="auto"/>
                <w:sz w:val="24"/>
                <w:highlight w:val="none"/>
              </w:rPr>
              <w:t>本项目水平衡图</w:t>
            </w:r>
            <w:r>
              <w:rPr>
                <w:rFonts w:hint="default" w:ascii="Times New Roman" w:hAnsi="Times New Roman" w:eastAsia="Times New Roman" w:cs="Times New Roman"/>
                <w:color w:val="auto"/>
                <w:highlight w:val="none"/>
              </w:rPr>
              <w:tab/>
            </w:r>
            <w:r>
              <w:rPr>
                <w:rFonts w:hint="default" w:ascii="Times New Roman" w:hAnsi="Times New Roman" w:cs="Times New Roman"/>
                <w:b/>
                <w:color w:val="auto"/>
                <w:sz w:val="24"/>
                <w:highlight w:val="none"/>
              </w:rPr>
              <w:t>单位：</w:t>
            </w:r>
            <w:r>
              <w:rPr>
                <w:rFonts w:hint="default" w:ascii="Times New Roman" w:hAnsi="Times New Roman" w:eastAsia="宋体" w:cs="Times New Roman"/>
                <w:b/>
                <w:color w:val="auto"/>
                <w:sz w:val="24"/>
                <w:highlight w:val="none"/>
                <w:lang w:val="en-US" w:eastAsia="zh-CN"/>
              </w:rPr>
              <w:t>t</w:t>
            </w:r>
            <w:r>
              <w:rPr>
                <w:rFonts w:hint="default" w:ascii="Times New Roman" w:hAnsi="Times New Roman" w:eastAsia="Times New Roman" w:cs="Times New Roman"/>
                <w:b/>
                <w:bCs/>
                <w:color w:val="auto"/>
                <w:sz w:val="24"/>
                <w:highlight w:val="none"/>
              </w:rPr>
              <w:t>/</w:t>
            </w:r>
            <w:r>
              <w:rPr>
                <w:rFonts w:hint="default" w:ascii="Times New Roman" w:hAnsi="Times New Roman" w:cs="Times New Roman"/>
                <w:b/>
                <w:bCs/>
                <w:color w:val="auto"/>
                <w:sz w:val="24"/>
                <w:highlight w:val="none"/>
              </w:rPr>
              <w:t>d</w:t>
            </w:r>
          </w:p>
          <w:p w14:paraId="1DDAA942">
            <w:pPr>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2.7 总平面布置</w:t>
            </w:r>
          </w:p>
          <w:p w14:paraId="56F290B7">
            <w:pPr>
              <w:pStyle w:val="15"/>
              <w:keepNext w:val="0"/>
              <w:keepLines w:val="0"/>
              <w:pageBreakBefore w:val="0"/>
              <w:widowControl/>
              <w:kinsoku w:val="0"/>
              <w:wordWrap/>
              <w:overflowPunct/>
              <w:topLinePunct w:val="0"/>
              <w:autoSpaceDE w:val="0"/>
              <w:autoSpaceDN w:val="0"/>
              <w:bidi w:val="0"/>
              <w:adjustRightInd w:val="0"/>
              <w:snapToGrid w:val="0"/>
              <w:spacing w:line="360" w:lineRule="auto"/>
              <w:ind w:right="113" w:firstLineChars="200"/>
              <w:textAlignment w:val="baseline"/>
              <w:rPr>
                <w:rFonts w:hint="default" w:ascii="Times New Roman" w:hAnsi="Times New Roman"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本项目位于泉州市永春县蓬壶镇蓬壶工业园，</w:t>
            </w:r>
            <w:r>
              <w:rPr>
                <w:rFonts w:hint="eastAsia" w:ascii="Times New Roman" w:hAnsi="Times New Roman" w:cs="Times New Roman"/>
                <w:color w:val="auto"/>
                <w:kern w:val="2"/>
                <w:sz w:val="24"/>
                <w:szCs w:val="24"/>
                <w:highlight w:val="none"/>
                <w:lang w:val="en-US" w:eastAsia="zh-CN"/>
              </w:rPr>
              <w:t>分别租赁出租方29号厂房B栋以及58号厂房。</w:t>
            </w:r>
            <w:r>
              <w:rPr>
                <w:rFonts w:hint="default" w:ascii="Times New Roman" w:hAnsi="Times New Roman" w:cs="Times New Roman"/>
                <w:color w:val="auto"/>
                <w:kern w:val="2"/>
                <w:sz w:val="24"/>
                <w:szCs w:val="24"/>
                <w:highlight w:val="none"/>
                <w:lang w:val="en-US" w:eastAsia="zh-CN"/>
              </w:rPr>
              <w:t>项目根据生产产品、工艺工序进行车间布局，生产区的物流、人流和信息流的流向清晰、明确，互不干扰。</w:t>
            </w:r>
            <w:r>
              <w:rPr>
                <w:rFonts w:hint="eastAsia" w:ascii="Times New Roman" w:hAnsi="Times New Roman" w:cs="Times New Roman"/>
                <w:color w:val="auto"/>
                <w:kern w:val="2"/>
                <w:sz w:val="24"/>
                <w:szCs w:val="24"/>
                <w:highlight w:val="none"/>
                <w:lang w:val="en-US" w:eastAsia="zh-CN"/>
              </w:rPr>
              <w:t>29号厂房B栋</w:t>
            </w:r>
            <w:r>
              <w:rPr>
                <w:rFonts w:hint="default" w:ascii="Times New Roman" w:hAnsi="Times New Roman" w:cs="Times New Roman"/>
                <w:color w:val="auto"/>
                <w:kern w:val="2"/>
                <w:sz w:val="24"/>
                <w:szCs w:val="24"/>
                <w:highlight w:val="none"/>
                <w:lang w:val="en-US" w:eastAsia="zh-CN"/>
              </w:rPr>
              <w:t>1楼由西</w:t>
            </w:r>
            <w:r>
              <w:rPr>
                <w:rFonts w:hint="eastAsia" w:ascii="Times New Roman" w:hAnsi="Times New Roman" w:cs="Times New Roman"/>
                <w:color w:val="auto"/>
                <w:kern w:val="2"/>
                <w:sz w:val="24"/>
                <w:szCs w:val="24"/>
                <w:highlight w:val="none"/>
                <w:lang w:val="en-US" w:eastAsia="zh-CN"/>
              </w:rPr>
              <w:t>南</w:t>
            </w:r>
            <w:r>
              <w:rPr>
                <w:rFonts w:hint="default" w:ascii="Times New Roman" w:hAnsi="Times New Roman" w:cs="Times New Roman"/>
                <w:color w:val="auto"/>
                <w:kern w:val="2"/>
                <w:sz w:val="24"/>
                <w:szCs w:val="24"/>
                <w:highlight w:val="none"/>
                <w:lang w:val="en-US" w:eastAsia="zh-CN"/>
              </w:rPr>
              <w:t>至东</w:t>
            </w:r>
            <w:r>
              <w:rPr>
                <w:rFonts w:hint="eastAsia" w:ascii="Times New Roman" w:hAnsi="Times New Roman" w:cs="Times New Roman"/>
                <w:color w:val="auto"/>
                <w:kern w:val="2"/>
                <w:sz w:val="24"/>
                <w:szCs w:val="24"/>
                <w:highlight w:val="none"/>
                <w:lang w:val="en-US" w:eastAsia="zh-CN"/>
              </w:rPr>
              <w:t>北</w:t>
            </w:r>
            <w:r>
              <w:rPr>
                <w:rFonts w:hint="default" w:ascii="Times New Roman" w:hAnsi="Times New Roman" w:cs="Times New Roman"/>
                <w:color w:val="auto"/>
                <w:kern w:val="2"/>
                <w:sz w:val="24"/>
                <w:szCs w:val="24"/>
                <w:highlight w:val="none"/>
                <w:lang w:val="en-US" w:eastAsia="zh-CN"/>
              </w:rPr>
              <w:t>分别为原料仓、裁切车间、高频车间、印刷车间</w:t>
            </w:r>
            <w:r>
              <w:rPr>
                <w:rFonts w:hint="eastAsia" w:ascii="Times New Roman" w:hAnsi="Times New Roman" w:cs="Times New Roman"/>
                <w:color w:val="auto"/>
                <w:kern w:val="2"/>
                <w:sz w:val="24"/>
                <w:szCs w:val="24"/>
                <w:highlight w:val="none"/>
                <w:lang w:val="en-US" w:eastAsia="zh-CN"/>
              </w:rPr>
              <w:t>、专用化学品仓库、</w:t>
            </w:r>
            <w:r>
              <w:rPr>
                <w:rFonts w:hint="default" w:ascii="Times New Roman" w:hAnsi="Times New Roman" w:cs="Times New Roman"/>
                <w:color w:val="auto"/>
                <w:kern w:val="2"/>
                <w:sz w:val="24"/>
                <w:szCs w:val="24"/>
                <w:highlight w:val="none"/>
                <w:lang w:val="en-US" w:eastAsia="zh-CN"/>
              </w:rPr>
              <w:t>一般固废暂存间和</w:t>
            </w:r>
            <w:r>
              <w:rPr>
                <w:rFonts w:hint="eastAsia" w:ascii="Times New Roman" w:hAnsi="Times New Roman" w:cs="Times New Roman"/>
                <w:color w:val="auto"/>
                <w:kern w:val="2"/>
                <w:sz w:val="24"/>
                <w:szCs w:val="24"/>
                <w:highlight w:val="none"/>
                <w:lang w:val="en-US" w:eastAsia="zh-CN"/>
              </w:rPr>
              <w:t>危</w:t>
            </w:r>
            <w:r>
              <w:rPr>
                <w:rFonts w:hint="default" w:ascii="Times New Roman" w:hAnsi="Times New Roman" w:cs="Times New Roman"/>
                <w:color w:val="auto"/>
                <w:kern w:val="2"/>
                <w:sz w:val="24"/>
                <w:szCs w:val="24"/>
                <w:highlight w:val="none"/>
                <w:lang w:val="en-US" w:eastAsia="zh-CN"/>
              </w:rPr>
              <w:t>废暂存间</w:t>
            </w:r>
            <w:r>
              <w:rPr>
                <w:rFonts w:hint="eastAsia"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val="en-US" w:eastAsia="zh-CN"/>
              </w:rPr>
              <w:t>2楼由西</w:t>
            </w:r>
            <w:r>
              <w:rPr>
                <w:rFonts w:hint="eastAsia" w:ascii="Times New Roman" w:hAnsi="Times New Roman" w:cs="Times New Roman"/>
                <w:color w:val="auto"/>
                <w:kern w:val="2"/>
                <w:sz w:val="24"/>
                <w:szCs w:val="24"/>
                <w:highlight w:val="none"/>
                <w:lang w:val="en-US" w:eastAsia="zh-CN"/>
              </w:rPr>
              <w:t>南</w:t>
            </w:r>
            <w:r>
              <w:rPr>
                <w:rFonts w:hint="default" w:ascii="Times New Roman" w:hAnsi="Times New Roman" w:cs="Times New Roman"/>
                <w:color w:val="auto"/>
                <w:kern w:val="2"/>
                <w:sz w:val="24"/>
                <w:szCs w:val="24"/>
                <w:highlight w:val="none"/>
                <w:lang w:val="en-US" w:eastAsia="zh-CN"/>
              </w:rPr>
              <w:t>至东</w:t>
            </w:r>
            <w:r>
              <w:rPr>
                <w:rFonts w:hint="eastAsia" w:ascii="Times New Roman" w:hAnsi="Times New Roman" w:cs="Times New Roman"/>
                <w:color w:val="auto"/>
                <w:kern w:val="2"/>
                <w:sz w:val="24"/>
                <w:szCs w:val="24"/>
                <w:highlight w:val="none"/>
                <w:lang w:val="en-US" w:eastAsia="zh-CN"/>
              </w:rPr>
              <w:t>北</w:t>
            </w:r>
            <w:r>
              <w:rPr>
                <w:rFonts w:hint="default" w:ascii="Times New Roman" w:hAnsi="Times New Roman" w:cs="Times New Roman"/>
                <w:color w:val="auto"/>
                <w:kern w:val="2"/>
                <w:sz w:val="24"/>
                <w:szCs w:val="24"/>
                <w:highlight w:val="none"/>
                <w:lang w:val="en-US" w:eastAsia="zh-CN"/>
              </w:rPr>
              <w:t>分别为高频车间</w:t>
            </w:r>
            <w:r>
              <w:rPr>
                <w:rFonts w:hint="eastAsia" w:ascii="Times New Roman" w:hAnsi="Times New Roman" w:cs="Times New Roman"/>
                <w:color w:val="auto"/>
                <w:kern w:val="2"/>
                <w:sz w:val="24"/>
                <w:szCs w:val="24"/>
                <w:highlight w:val="none"/>
                <w:lang w:val="en-US" w:eastAsia="zh-CN"/>
              </w:rPr>
              <w:t>和物料中转区，</w:t>
            </w:r>
            <w:r>
              <w:rPr>
                <w:rFonts w:hint="default" w:ascii="Times New Roman" w:hAnsi="Times New Roman" w:cs="Times New Roman"/>
                <w:color w:val="auto"/>
                <w:kern w:val="2"/>
                <w:sz w:val="24"/>
                <w:szCs w:val="24"/>
                <w:highlight w:val="none"/>
                <w:lang w:val="en-US" w:eastAsia="zh-CN"/>
              </w:rPr>
              <w:t>3楼由</w:t>
            </w:r>
            <w:r>
              <w:rPr>
                <w:rFonts w:hint="eastAsia" w:ascii="Times New Roman" w:hAnsi="Times New Roman" w:cs="Times New Roman"/>
                <w:color w:val="auto"/>
                <w:kern w:val="2"/>
                <w:sz w:val="24"/>
                <w:szCs w:val="24"/>
                <w:highlight w:val="none"/>
                <w:lang w:val="en-US" w:eastAsia="zh-CN"/>
              </w:rPr>
              <w:t>东</w:t>
            </w:r>
            <w:r>
              <w:rPr>
                <w:rFonts w:hint="default" w:ascii="Times New Roman" w:hAnsi="Times New Roman" w:cs="Times New Roman"/>
                <w:color w:val="auto"/>
                <w:kern w:val="2"/>
                <w:sz w:val="24"/>
                <w:szCs w:val="24"/>
                <w:highlight w:val="none"/>
                <w:lang w:val="en-US" w:eastAsia="zh-CN"/>
              </w:rPr>
              <w:t>南至</w:t>
            </w:r>
            <w:r>
              <w:rPr>
                <w:rFonts w:hint="eastAsia" w:ascii="Times New Roman" w:hAnsi="Times New Roman" w:cs="Times New Roman"/>
                <w:color w:val="auto"/>
                <w:kern w:val="2"/>
                <w:sz w:val="24"/>
                <w:szCs w:val="24"/>
                <w:highlight w:val="none"/>
                <w:lang w:val="en-US" w:eastAsia="zh-CN"/>
              </w:rPr>
              <w:t>西</w:t>
            </w:r>
            <w:r>
              <w:rPr>
                <w:rFonts w:hint="default" w:ascii="Times New Roman" w:hAnsi="Times New Roman" w:cs="Times New Roman"/>
                <w:color w:val="auto"/>
                <w:kern w:val="2"/>
                <w:sz w:val="24"/>
                <w:szCs w:val="24"/>
                <w:highlight w:val="none"/>
                <w:lang w:val="en-US" w:eastAsia="zh-CN"/>
              </w:rPr>
              <w:t>北分别为</w:t>
            </w:r>
            <w:r>
              <w:rPr>
                <w:rFonts w:hint="eastAsia" w:ascii="Times New Roman" w:hAnsi="Times New Roman" w:cs="Times New Roman"/>
                <w:color w:val="auto"/>
                <w:kern w:val="2"/>
                <w:sz w:val="24"/>
                <w:szCs w:val="24"/>
                <w:highlight w:val="none"/>
                <w:lang w:val="en-US" w:eastAsia="zh-CN"/>
              </w:rPr>
              <w:t>包装区</w:t>
            </w:r>
            <w:r>
              <w:rPr>
                <w:rFonts w:hint="default" w:ascii="Times New Roman" w:hAnsi="Times New Roman" w:cs="Times New Roman"/>
                <w:color w:val="auto"/>
                <w:kern w:val="2"/>
                <w:sz w:val="24"/>
                <w:szCs w:val="24"/>
                <w:highlight w:val="none"/>
                <w:lang w:val="en-US" w:eastAsia="zh-CN"/>
              </w:rPr>
              <w:t>和</w:t>
            </w:r>
            <w:r>
              <w:rPr>
                <w:rFonts w:hint="eastAsia" w:ascii="Times New Roman" w:hAnsi="Times New Roman" w:cs="Times New Roman"/>
                <w:color w:val="auto"/>
                <w:kern w:val="2"/>
                <w:sz w:val="24"/>
                <w:szCs w:val="24"/>
                <w:highlight w:val="none"/>
                <w:lang w:val="en-US" w:eastAsia="zh-CN"/>
              </w:rPr>
              <w:t>检验车间；58号厂房原为启亿生产车间，项目租赁后拟在此设计高频车间、</w:t>
            </w:r>
            <w:r>
              <w:rPr>
                <w:rFonts w:hint="default" w:ascii="Times New Roman" w:hAnsi="Times New Roman" w:cs="Times New Roman"/>
                <w:color w:val="auto"/>
                <w:kern w:val="2"/>
                <w:sz w:val="24"/>
                <w:szCs w:val="24"/>
                <w:highlight w:val="none"/>
                <w:lang w:val="en-US" w:eastAsia="zh-CN"/>
              </w:rPr>
              <w:t>原料仓</w:t>
            </w:r>
            <w:r>
              <w:rPr>
                <w:rFonts w:hint="eastAsia" w:ascii="Times New Roman" w:hAnsi="Times New Roman" w:cs="Times New Roman"/>
                <w:color w:val="auto"/>
                <w:kern w:val="2"/>
                <w:sz w:val="24"/>
                <w:szCs w:val="24"/>
                <w:highlight w:val="none"/>
                <w:lang w:val="en-US" w:eastAsia="zh-CN"/>
              </w:rPr>
              <w:t>、充气检查</w:t>
            </w:r>
            <w:r>
              <w:rPr>
                <w:rFonts w:hint="default" w:ascii="Times New Roman" w:hAnsi="Times New Roman" w:cs="Times New Roman"/>
                <w:color w:val="auto"/>
                <w:kern w:val="2"/>
                <w:sz w:val="24"/>
                <w:szCs w:val="24"/>
                <w:highlight w:val="none"/>
                <w:lang w:val="en-US" w:eastAsia="zh-CN"/>
              </w:rPr>
              <w:t>车间</w:t>
            </w:r>
            <w:r>
              <w:rPr>
                <w:rFonts w:hint="eastAsia" w:ascii="Times New Roman" w:hAnsi="Times New Roman" w:cs="Times New Roman"/>
                <w:color w:val="auto"/>
                <w:kern w:val="2"/>
                <w:sz w:val="24"/>
                <w:szCs w:val="24"/>
                <w:highlight w:val="none"/>
                <w:lang w:val="en-US" w:eastAsia="zh-CN"/>
              </w:rPr>
              <w:t>及成品仓库，项目总平面布置图详见附图6。</w:t>
            </w:r>
          </w:p>
          <w:p w14:paraId="39175730">
            <w:pPr>
              <w:pStyle w:val="15"/>
              <w:keepNext w:val="0"/>
              <w:keepLines w:val="0"/>
              <w:pageBreakBefore w:val="0"/>
              <w:widowControl/>
              <w:kinsoku w:val="0"/>
              <w:wordWrap/>
              <w:overflowPunct/>
              <w:topLinePunct w:val="0"/>
              <w:autoSpaceDE w:val="0"/>
              <w:autoSpaceDN w:val="0"/>
              <w:bidi w:val="0"/>
              <w:adjustRightInd w:val="0"/>
              <w:snapToGrid w:val="0"/>
              <w:spacing w:line="360" w:lineRule="auto"/>
              <w:ind w:right="113" w:firstLineChars="200"/>
              <w:textAlignment w:val="baseline"/>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cs="Times New Roman"/>
                <w:color w:val="auto"/>
                <w:kern w:val="2"/>
                <w:sz w:val="24"/>
                <w:szCs w:val="24"/>
                <w:highlight w:val="none"/>
                <w:lang w:val="en-US" w:eastAsia="zh-CN"/>
              </w:rPr>
              <w:t>从环保角度看，建设单位拟将危险废物贮存场所设于</w:t>
            </w:r>
            <w:r>
              <w:rPr>
                <w:rFonts w:hint="eastAsia" w:ascii="Times New Roman" w:hAnsi="Times New Roman" w:cs="Times New Roman"/>
                <w:color w:val="auto"/>
                <w:kern w:val="2"/>
                <w:sz w:val="24"/>
                <w:szCs w:val="24"/>
                <w:highlight w:val="none"/>
                <w:lang w:val="en-US" w:eastAsia="zh-CN"/>
              </w:rPr>
              <w:t>29号厂房B栋1</w:t>
            </w:r>
            <w:r>
              <w:rPr>
                <w:rFonts w:hint="default" w:ascii="Times New Roman" w:hAnsi="Times New Roman" w:cs="Times New Roman"/>
                <w:color w:val="auto"/>
                <w:kern w:val="2"/>
                <w:sz w:val="24"/>
                <w:szCs w:val="24"/>
                <w:highlight w:val="none"/>
                <w:lang w:val="en-US" w:eastAsia="zh-CN"/>
              </w:rPr>
              <w:t>楼东侧，具备防风、防雨、防晒措施，贮存场地面进行防渗、耐腐蚀层，地面无裂隙</w:t>
            </w:r>
            <w:r>
              <w:rPr>
                <w:rFonts w:hint="eastAsia" w:ascii="Times New Roman" w:hAnsi="Times New Roman" w:cs="Times New Roman"/>
                <w:color w:val="auto"/>
                <w:kern w:val="2"/>
                <w:sz w:val="24"/>
                <w:szCs w:val="24"/>
                <w:highlight w:val="none"/>
                <w:lang w:val="en-US" w:eastAsia="zh-CN"/>
              </w:rPr>
              <w:t>。</w:t>
            </w:r>
            <w:r>
              <w:rPr>
                <w:rFonts w:hint="default" w:ascii="Times New Roman" w:hAnsi="Times New Roman" w:cs="Times New Roman"/>
                <w:color w:val="auto"/>
                <w:kern w:val="2"/>
                <w:sz w:val="24"/>
                <w:szCs w:val="24"/>
                <w:highlight w:val="none"/>
                <w:lang w:val="en-US" w:eastAsia="zh-CN"/>
              </w:rPr>
              <w:t>要求</w:t>
            </w:r>
            <w:r>
              <w:rPr>
                <w:rFonts w:hint="eastAsia" w:ascii="Times New Roman" w:hAnsi="Times New Roman" w:cs="Times New Roman"/>
                <w:color w:val="auto"/>
                <w:kern w:val="2"/>
                <w:sz w:val="24"/>
                <w:szCs w:val="24"/>
                <w:highlight w:val="none"/>
                <w:lang w:val="en-US" w:eastAsia="zh-CN"/>
              </w:rPr>
              <w:t>使</w:t>
            </w:r>
            <w:r>
              <w:rPr>
                <w:rFonts w:hint="default" w:ascii="Times New Roman" w:hAnsi="Times New Roman" w:cs="Times New Roman"/>
                <w:color w:val="auto"/>
                <w:kern w:val="2"/>
                <w:sz w:val="24"/>
                <w:szCs w:val="24"/>
                <w:highlight w:val="none"/>
                <w:lang w:val="en-US" w:eastAsia="zh-CN"/>
              </w:rPr>
              <w:t>用</w:t>
            </w:r>
            <w:r>
              <w:rPr>
                <w:rFonts w:hint="eastAsia" w:ascii="Times New Roman" w:hAnsi="Times New Roman" w:cs="Times New Roman"/>
                <w:color w:val="auto"/>
                <w:kern w:val="2"/>
                <w:sz w:val="24"/>
                <w:szCs w:val="24"/>
                <w:highlight w:val="none"/>
                <w:lang w:val="en-US" w:eastAsia="zh-CN"/>
              </w:rPr>
              <w:t>危废</w:t>
            </w:r>
            <w:r>
              <w:rPr>
                <w:rFonts w:hint="default" w:ascii="Times New Roman" w:hAnsi="Times New Roman" w:cs="Times New Roman"/>
                <w:color w:val="auto"/>
                <w:kern w:val="2"/>
                <w:sz w:val="24"/>
                <w:szCs w:val="24"/>
                <w:highlight w:val="none"/>
                <w:lang w:val="en-US" w:eastAsia="zh-CN"/>
              </w:rPr>
              <w:t>专用容器收集</w:t>
            </w:r>
            <w:r>
              <w:rPr>
                <w:rFonts w:hint="eastAsia" w:ascii="Times New Roman" w:hAnsi="Times New Roman" w:cs="Times New Roman"/>
                <w:color w:val="auto"/>
                <w:kern w:val="2"/>
                <w:sz w:val="24"/>
                <w:szCs w:val="24"/>
                <w:highlight w:val="none"/>
                <w:lang w:val="en-US" w:eastAsia="zh-CN"/>
              </w:rPr>
              <w:t>危废，</w:t>
            </w:r>
            <w:r>
              <w:rPr>
                <w:rFonts w:hint="default" w:ascii="Times New Roman" w:hAnsi="Times New Roman" w:cs="Times New Roman"/>
                <w:color w:val="auto"/>
                <w:kern w:val="2"/>
                <w:sz w:val="24"/>
                <w:szCs w:val="24"/>
                <w:highlight w:val="none"/>
                <w:lang w:val="en-US" w:eastAsia="zh-CN"/>
              </w:rPr>
              <w:t>并置于托盘上放置于贮放间内，贮放期间危废暂存间封闭，不同危废设置分区区域。废气处理设施及排气筒设置于</w:t>
            </w:r>
            <w:r>
              <w:rPr>
                <w:rFonts w:hint="eastAsia" w:ascii="Times New Roman" w:hAnsi="Times New Roman" w:cs="Times New Roman"/>
                <w:color w:val="auto"/>
                <w:kern w:val="2"/>
                <w:sz w:val="24"/>
                <w:szCs w:val="24"/>
                <w:highlight w:val="none"/>
                <w:lang w:val="en-US" w:eastAsia="zh-CN"/>
              </w:rPr>
              <w:t>29号厂房B栋三</w:t>
            </w:r>
            <w:r>
              <w:rPr>
                <w:rFonts w:hint="default" w:ascii="Times New Roman" w:hAnsi="Times New Roman" w:cs="Times New Roman"/>
                <w:color w:val="auto"/>
                <w:kern w:val="2"/>
                <w:sz w:val="24"/>
                <w:szCs w:val="24"/>
                <w:highlight w:val="none"/>
                <w:lang w:val="en-US" w:eastAsia="zh-CN"/>
              </w:rPr>
              <w:t>楼东侧，合理规划废气管道的布设。生产区、仓储区、办公区分区明显，便于生产管理和产品储存。车间的设计基本做到功能分区明确、流程合理、减少污染的要求，同时</w:t>
            </w:r>
            <w:r>
              <w:rPr>
                <w:rFonts w:hint="eastAsia" w:ascii="Times New Roman" w:hAnsi="Times New Roman" w:cs="Times New Roman"/>
                <w:color w:val="auto"/>
                <w:kern w:val="2"/>
                <w:sz w:val="24"/>
                <w:szCs w:val="24"/>
                <w:highlight w:val="none"/>
                <w:lang w:val="en-US" w:eastAsia="zh-CN"/>
              </w:rPr>
              <w:t>也</w:t>
            </w:r>
            <w:r>
              <w:rPr>
                <w:rFonts w:hint="default" w:ascii="Times New Roman" w:hAnsi="Times New Roman" w:cs="Times New Roman"/>
                <w:color w:val="auto"/>
                <w:kern w:val="2"/>
                <w:sz w:val="24"/>
                <w:szCs w:val="24"/>
                <w:highlight w:val="none"/>
                <w:lang w:val="en-US" w:eastAsia="zh-CN"/>
              </w:rPr>
              <w:t>适应各个工艺生产、便于交通，符合安全、消防的要求。总体来说，本项目平面布局合理。项目</w:t>
            </w:r>
            <w:r>
              <w:rPr>
                <w:rFonts w:hint="eastAsia" w:ascii="Times New Roman" w:hAnsi="Times New Roman" w:cs="Times New Roman"/>
                <w:color w:val="auto"/>
                <w:kern w:val="2"/>
                <w:sz w:val="24"/>
                <w:szCs w:val="24"/>
                <w:highlight w:val="none"/>
                <w:lang w:val="en-US" w:eastAsia="zh-CN"/>
              </w:rPr>
              <w:t>各车间</w:t>
            </w:r>
            <w:r>
              <w:rPr>
                <w:rFonts w:hint="default" w:ascii="Times New Roman" w:hAnsi="Times New Roman" w:cs="Times New Roman"/>
                <w:color w:val="auto"/>
                <w:kern w:val="2"/>
                <w:sz w:val="24"/>
                <w:szCs w:val="24"/>
                <w:highlight w:val="none"/>
                <w:lang w:val="en-US" w:eastAsia="zh-CN"/>
              </w:rPr>
              <w:t>平面布置图见附图</w:t>
            </w:r>
            <w:r>
              <w:rPr>
                <w:rFonts w:hint="eastAsia" w:ascii="Times New Roman" w:hAnsi="Times New Roman" w:cs="Times New Roman"/>
                <w:color w:val="auto"/>
                <w:kern w:val="2"/>
                <w:sz w:val="24"/>
                <w:szCs w:val="24"/>
                <w:highlight w:val="none"/>
                <w:lang w:val="en-US" w:eastAsia="zh-CN"/>
              </w:rPr>
              <w:t>7、8、9</w:t>
            </w:r>
            <w:r>
              <w:rPr>
                <w:rFonts w:hint="default" w:ascii="Times New Roman" w:hAnsi="Times New Roman" w:cs="Times New Roman"/>
                <w:color w:val="auto"/>
                <w:kern w:val="2"/>
                <w:sz w:val="24"/>
                <w:szCs w:val="24"/>
                <w:highlight w:val="none"/>
                <w:lang w:val="en-US" w:eastAsia="zh-CN"/>
              </w:rPr>
              <w:t>。</w:t>
            </w:r>
          </w:p>
        </w:tc>
      </w:tr>
      <w:tr w14:paraId="7C0B2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619" w:type="dxa"/>
            <w:tcBorders>
              <w:left w:val="single" w:color="000000" w:sz="6" w:space="0"/>
            </w:tcBorders>
            <w:vAlign w:val="center"/>
          </w:tcPr>
          <w:p w14:paraId="3DFC1B98">
            <w:pPr>
              <w:spacing w:before="65" w:line="274" w:lineRule="exact"/>
              <w:rPr>
                <w:rFonts w:ascii="宋体" w:hAnsi="宋体" w:eastAsia="宋体" w:cs="宋体"/>
                <w:sz w:val="20"/>
                <w:szCs w:val="20"/>
                <w:highlight w:val="none"/>
              </w:rPr>
            </w:pPr>
            <w:r>
              <w:rPr>
                <w:rFonts w:ascii="宋体" w:hAnsi="宋体" w:eastAsia="宋体" w:cs="宋体"/>
                <w:spacing w:val="4"/>
                <w:position w:val="4"/>
                <w:sz w:val="20"/>
                <w:szCs w:val="20"/>
                <w:highlight w:val="none"/>
              </w:rPr>
              <w:t>工</w:t>
            </w:r>
            <w:r>
              <w:rPr>
                <w:rFonts w:ascii="宋体" w:hAnsi="宋体" w:eastAsia="宋体" w:cs="宋体"/>
                <w:spacing w:val="3"/>
                <w:position w:val="4"/>
                <w:sz w:val="20"/>
                <w:szCs w:val="20"/>
                <w:highlight w:val="none"/>
              </w:rPr>
              <w:t>艺</w:t>
            </w:r>
            <w:r>
              <w:rPr>
                <w:rFonts w:ascii="宋体" w:hAnsi="宋体" w:eastAsia="宋体" w:cs="宋体"/>
                <w:spacing w:val="4"/>
                <w:sz w:val="20"/>
                <w:szCs w:val="20"/>
                <w:highlight w:val="none"/>
              </w:rPr>
              <w:t>流程和产</w:t>
            </w:r>
            <w:r>
              <w:rPr>
                <w:rFonts w:ascii="宋体" w:hAnsi="宋体" w:eastAsia="宋体" w:cs="宋体"/>
                <w:spacing w:val="5"/>
                <w:sz w:val="20"/>
                <w:szCs w:val="20"/>
                <w:highlight w:val="none"/>
              </w:rPr>
              <w:t>排</w:t>
            </w:r>
            <w:r>
              <w:rPr>
                <w:rFonts w:ascii="宋体" w:hAnsi="宋体" w:eastAsia="宋体" w:cs="宋体"/>
                <w:spacing w:val="4"/>
                <w:sz w:val="20"/>
                <w:szCs w:val="20"/>
                <w:highlight w:val="none"/>
              </w:rPr>
              <w:t>污</w:t>
            </w:r>
            <w:r>
              <w:rPr>
                <w:rFonts w:ascii="宋体" w:hAnsi="宋体" w:eastAsia="宋体" w:cs="宋体"/>
                <w:spacing w:val="5"/>
                <w:sz w:val="20"/>
                <w:szCs w:val="20"/>
                <w:highlight w:val="none"/>
              </w:rPr>
              <w:t>环</w:t>
            </w:r>
            <w:r>
              <w:rPr>
                <w:rFonts w:ascii="宋体" w:hAnsi="宋体" w:eastAsia="宋体" w:cs="宋体"/>
                <w:spacing w:val="4"/>
                <w:sz w:val="20"/>
                <w:szCs w:val="20"/>
                <w:highlight w:val="none"/>
              </w:rPr>
              <w:t>节</w:t>
            </w:r>
          </w:p>
        </w:tc>
        <w:tc>
          <w:tcPr>
            <w:tcW w:w="8387" w:type="dxa"/>
            <w:tcBorders>
              <w:right w:val="single" w:color="000000" w:sz="6" w:space="0"/>
            </w:tcBorders>
            <w:vAlign w:val="top"/>
          </w:tcPr>
          <w:p w14:paraId="39ACDC38">
            <w:pPr>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2.8 工艺流程</w:t>
            </w:r>
          </w:p>
          <w:p w14:paraId="299A29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rPr>
              <w:t>充气床</w:t>
            </w:r>
          </w:p>
          <w:p w14:paraId="36AB2F3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项目主要从事</w:t>
            </w:r>
            <w:r>
              <w:rPr>
                <w:rFonts w:hint="default" w:ascii="Times New Roman" w:hAnsi="Times New Roman" w:eastAsia="宋体" w:cs="Times New Roman"/>
                <w:color w:val="auto"/>
                <w:kern w:val="2"/>
                <w:sz w:val="24"/>
                <w:szCs w:val="24"/>
                <w:highlight w:val="none"/>
                <w:lang w:val="en-US" w:eastAsia="zh-CN"/>
              </w:rPr>
              <w:t>充气床</w:t>
            </w:r>
            <w:r>
              <w:rPr>
                <w:rFonts w:hint="default" w:ascii="Times New Roman" w:hAnsi="Times New Roman" w:eastAsia="宋体" w:cs="Times New Roman"/>
                <w:color w:val="auto"/>
                <w:kern w:val="2"/>
                <w:sz w:val="24"/>
                <w:szCs w:val="24"/>
                <w:highlight w:val="none"/>
              </w:rPr>
              <w:t>的生产。具体生产工艺</w:t>
            </w:r>
            <w:r>
              <w:rPr>
                <w:rFonts w:hint="eastAsia" w:ascii="Times New Roman" w:hAnsi="Times New Roman" w:eastAsia="宋体" w:cs="Times New Roman"/>
                <w:color w:val="auto"/>
                <w:kern w:val="2"/>
                <w:sz w:val="24"/>
                <w:szCs w:val="24"/>
                <w:highlight w:val="none"/>
                <w:lang w:val="en-US" w:eastAsia="zh-CN"/>
              </w:rPr>
              <w:t>及产污环节</w:t>
            </w:r>
            <w:r>
              <w:rPr>
                <w:rFonts w:hint="default" w:ascii="Times New Roman" w:hAnsi="Times New Roman" w:eastAsia="宋体" w:cs="Times New Roman"/>
                <w:color w:val="auto"/>
                <w:kern w:val="2"/>
                <w:sz w:val="24"/>
                <w:szCs w:val="24"/>
                <w:highlight w:val="none"/>
                <w:lang w:val="en-US" w:eastAsia="zh-CN"/>
              </w:rPr>
              <w:t>见</w:t>
            </w:r>
            <w:r>
              <w:rPr>
                <w:rFonts w:hint="default" w:ascii="Times New Roman" w:hAnsi="Times New Roman" w:eastAsia="宋体" w:cs="Times New Roman"/>
                <w:color w:val="auto"/>
                <w:kern w:val="2"/>
                <w:sz w:val="24"/>
                <w:szCs w:val="24"/>
                <w:highlight w:val="none"/>
              </w:rPr>
              <w:t>下</w:t>
            </w:r>
            <w:r>
              <w:rPr>
                <w:rFonts w:hint="default" w:ascii="Times New Roman" w:hAnsi="Times New Roman" w:eastAsia="宋体" w:cs="Times New Roman"/>
                <w:color w:val="auto"/>
                <w:kern w:val="2"/>
                <w:sz w:val="24"/>
                <w:szCs w:val="24"/>
                <w:highlight w:val="none"/>
                <w:lang w:val="en-US" w:eastAsia="zh-CN"/>
              </w:rPr>
              <w:t>图</w:t>
            </w:r>
            <w:r>
              <w:rPr>
                <w:rFonts w:hint="default" w:ascii="Times New Roman" w:hAnsi="Times New Roman" w:eastAsia="宋体" w:cs="Times New Roman"/>
                <w:color w:val="auto"/>
                <w:kern w:val="2"/>
                <w:sz w:val="24"/>
                <w:szCs w:val="24"/>
                <w:highlight w:val="none"/>
              </w:rPr>
              <w:t>：</w:t>
            </w:r>
          </w:p>
          <w:p w14:paraId="196B6F2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color w:val="auto"/>
                <w:kern w:val="2"/>
                <w:sz w:val="24"/>
                <w:szCs w:val="24"/>
                <w:highlight w:val="none"/>
              </w:rPr>
            </w:pPr>
            <w:r>
              <w:rPr>
                <w:highlight w:val="none"/>
              </w:rPr>
              <w:drawing>
                <wp:inline distT="0" distB="0" distL="114300" distR="114300">
                  <wp:extent cx="5452110" cy="2978150"/>
                  <wp:effectExtent l="0" t="0" r="0" b="0"/>
                  <wp:docPr id="4" name="ECB019B1-382A-4266-B25C-5B523AA43C14-1" descr="C:/Users/CXH/AppData/Local/Temp/wps.fxvTf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C:/Users/CXH/AppData/Local/Temp/wps.fxvTfqwps"/>
                          <pic:cNvPicPr>
                            <a:picLocks noChangeAspect="1"/>
                          </pic:cNvPicPr>
                        </pic:nvPicPr>
                        <pic:blipFill>
                          <a:blip r:embed="rId12"/>
                          <a:stretch>
                            <a:fillRect/>
                          </a:stretch>
                        </pic:blipFill>
                        <pic:spPr>
                          <a:xfrm>
                            <a:off x="0" y="0"/>
                            <a:ext cx="5452110" cy="2978150"/>
                          </a:xfrm>
                          <a:prstGeom prst="rect">
                            <a:avLst/>
                          </a:prstGeom>
                        </pic:spPr>
                      </pic:pic>
                    </a:graphicData>
                  </a:graphic>
                </wp:inline>
              </w:drawing>
            </w:r>
          </w:p>
          <w:p w14:paraId="768F662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center"/>
              <w:textAlignment w:val="baseline"/>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图2</w:t>
            </w:r>
            <w:r>
              <w:rPr>
                <w:rFonts w:hint="eastAsia" w:ascii="Times New Roman" w:hAnsi="Times New Roman" w:eastAsia="宋体" w:cs="Times New Roman"/>
                <w:b/>
                <w:bCs/>
                <w:color w:val="auto"/>
                <w:kern w:val="2"/>
                <w:sz w:val="24"/>
                <w:szCs w:val="24"/>
                <w:highlight w:val="none"/>
                <w:lang w:val="en-US" w:eastAsia="zh-CN"/>
              </w:rPr>
              <w:t>.8-1</w:t>
            </w:r>
            <w:r>
              <w:rPr>
                <w:rFonts w:hint="default" w:ascii="Times New Roman" w:hAnsi="Times New Roman" w:eastAsia="宋体" w:cs="Times New Roman"/>
                <w:b/>
                <w:bCs/>
                <w:color w:val="auto"/>
                <w:kern w:val="2"/>
                <w:sz w:val="24"/>
                <w:szCs w:val="24"/>
                <w:highlight w:val="none"/>
                <w:lang w:val="en-US" w:eastAsia="zh-CN"/>
              </w:rPr>
              <w:t xml:space="preserve"> 充气床</w:t>
            </w:r>
            <w:r>
              <w:rPr>
                <w:rFonts w:hint="default" w:ascii="Times New Roman" w:hAnsi="Times New Roman" w:cs="Times New Roman"/>
                <w:b/>
                <w:bCs/>
                <w:sz w:val="24"/>
                <w:highlight w:val="none"/>
              </w:rPr>
              <w:t>生产工艺流程及产污环节示意图</w:t>
            </w:r>
          </w:p>
          <w:p w14:paraId="0ACE84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工艺及产污说明：</w:t>
            </w:r>
          </w:p>
          <w:p w14:paraId="4ACA251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原材料PVC膜、TPU膜、植绒料均直接外购半成品，不自行生产。</w:t>
            </w:r>
          </w:p>
          <w:p w14:paraId="4B628D9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裁切：根据产品规格将原材料PVC膜、TPU膜、植绒料使用分切机、切纸机</w:t>
            </w:r>
            <w:r>
              <w:rPr>
                <w:rFonts w:hint="eastAsia" w:ascii="Times New Roman" w:hAnsi="Times New Roman" w:eastAsia="宋体" w:cs="Times New Roman"/>
                <w:color w:val="auto"/>
                <w:kern w:val="2"/>
                <w:sz w:val="24"/>
                <w:szCs w:val="24"/>
                <w:highlight w:val="none"/>
                <w:lang w:val="en-US" w:eastAsia="zh-CN"/>
              </w:rPr>
              <w:t>、上下片裁床、冲床</w:t>
            </w:r>
            <w:r>
              <w:rPr>
                <w:rFonts w:hint="default" w:ascii="Times New Roman" w:hAnsi="Times New Roman" w:eastAsia="宋体" w:cs="Times New Roman"/>
                <w:color w:val="auto"/>
                <w:kern w:val="2"/>
                <w:sz w:val="24"/>
                <w:szCs w:val="24"/>
                <w:highlight w:val="none"/>
                <w:lang w:val="en-US" w:eastAsia="zh-CN"/>
              </w:rPr>
              <w:t>进行裁切。该工序会产生边角料S1及设备运行时产生的机械噪声N1。</w:t>
            </w:r>
          </w:p>
          <w:p w14:paraId="3B5F42D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围带：使用床围带机进行围边包缝，用于加固充气床。该工序会产生边角料S2及设备运行时产生的机械噪声N2。</w:t>
            </w:r>
          </w:p>
          <w:p w14:paraId="20B53FA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调墨：溶剂油墨利用清洗剂稀释，油性墨与清洗剂的稀释比例为3:4，在印刷车间内进行人工调墨，UV油墨可直接用于印刷，无需调墨。该工序会产生有机废气G1。</w:t>
            </w:r>
          </w:p>
          <w:p w14:paraId="4F289BA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印刷：印刷工序在印刷车间内进行，</w:t>
            </w:r>
            <w:r>
              <w:rPr>
                <w:rFonts w:hint="eastAsia" w:ascii="Times New Roman" w:hAnsi="Times New Roman" w:eastAsia="宋体" w:cs="Times New Roman"/>
                <w:color w:val="auto"/>
                <w:kern w:val="2"/>
                <w:sz w:val="24"/>
                <w:szCs w:val="24"/>
                <w:highlight w:val="none"/>
                <w:lang w:val="en-US" w:eastAsia="zh-CN"/>
              </w:rPr>
              <w:t>在拉带机和床围带机拉带、围带成型后，利用床围带机加入</w:t>
            </w:r>
            <w:r>
              <w:rPr>
                <w:rFonts w:hint="default" w:ascii="Times New Roman" w:hAnsi="Times New Roman" w:eastAsia="宋体" w:cs="Times New Roman"/>
                <w:color w:val="auto"/>
                <w:kern w:val="2"/>
                <w:sz w:val="24"/>
                <w:szCs w:val="24"/>
                <w:highlight w:val="none"/>
                <w:lang w:val="en-US" w:eastAsia="zh-CN"/>
              </w:rPr>
              <w:t>油墨将图案印至产品表面。印刷网版直接外购，不自行制版，印刷网版无需使用润版液。网版需定期擦拭，本项目使用抹布蘸取少量清洗剂进行擦拭清洗</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该工序产生</w:t>
            </w:r>
            <w:r>
              <w:rPr>
                <w:rFonts w:hint="eastAsia" w:ascii="Times New Roman" w:hAnsi="Times New Roman" w:eastAsia="宋体" w:cs="Times New Roman"/>
                <w:color w:val="auto"/>
                <w:kern w:val="2"/>
                <w:sz w:val="24"/>
                <w:szCs w:val="24"/>
                <w:highlight w:val="none"/>
                <w:lang w:val="en-US" w:eastAsia="zh-CN"/>
              </w:rPr>
              <w:t>的</w:t>
            </w:r>
            <w:r>
              <w:rPr>
                <w:rFonts w:hint="default" w:ascii="Times New Roman" w:hAnsi="Times New Roman" w:eastAsia="宋体" w:cs="Times New Roman"/>
                <w:color w:val="auto"/>
                <w:kern w:val="2"/>
                <w:sz w:val="24"/>
                <w:szCs w:val="24"/>
                <w:highlight w:val="none"/>
                <w:lang w:val="en-US" w:eastAsia="zh-CN"/>
              </w:rPr>
              <w:t>有机废气G</w:t>
            </w:r>
            <w:r>
              <w:rPr>
                <w:rFonts w:hint="eastAsia" w:ascii="Times New Roman" w:hAnsi="Times New Roman" w:eastAsia="宋体" w:cs="Times New Roman"/>
                <w:color w:val="auto"/>
                <w:kern w:val="2"/>
                <w:sz w:val="24"/>
                <w:szCs w:val="24"/>
                <w:highlight w:val="none"/>
                <w:lang w:val="en-US" w:eastAsia="zh-CN"/>
              </w:rPr>
              <w:t>2包括利用UV油墨印刷时生成的有机废气和擦拭网版时产生的有机废气；</w:t>
            </w:r>
            <w:r>
              <w:rPr>
                <w:rFonts w:hint="default" w:ascii="Times New Roman" w:hAnsi="Times New Roman" w:eastAsia="宋体" w:cs="Times New Roman"/>
                <w:color w:val="auto"/>
                <w:kern w:val="2"/>
                <w:sz w:val="24"/>
                <w:szCs w:val="24"/>
                <w:highlight w:val="none"/>
                <w:lang w:val="en-US" w:eastAsia="zh-CN"/>
              </w:rPr>
              <w:t>擦拭网版产生的含油墨抹布、废网版及废原料空桶S3</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设备运行时产生的机械噪声N3。</w:t>
            </w:r>
          </w:p>
          <w:p w14:paraId="5C6CE51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高频</w:t>
            </w:r>
            <w:r>
              <w:rPr>
                <w:rFonts w:hint="default" w:ascii="Times New Roman" w:hAnsi="Times New Roman" w:eastAsia="宋体" w:cs="Times New Roman"/>
                <w:color w:val="auto"/>
                <w:kern w:val="2"/>
                <w:sz w:val="24"/>
                <w:szCs w:val="24"/>
                <w:highlight w:val="none"/>
                <w:lang w:val="en-US" w:eastAsia="zh-CN"/>
              </w:rPr>
              <w:t>成型：利用高频机压合成型，采用电能，压合过程为低温快速压合</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工作温度控制在60℃左右，远低于PVC</w:t>
            </w:r>
            <w:r>
              <w:rPr>
                <w:rFonts w:hint="eastAsia" w:ascii="Times New Roman" w:hAnsi="Times New Roman" w:eastAsia="宋体" w:cs="Times New Roman"/>
                <w:color w:val="auto"/>
                <w:kern w:val="2"/>
                <w:sz w:val="24"/>
                <w:szCs w:val="24"/>
                <w:highlight w:val="none"/>
                <w:lang w:val="en-US" w:eastAsia="zh-CN"/>
              </w:rPr>
              <w:t>膜和TPU膜的分解</w:t>
            </w:r>
            <w:r>
              <w:rPr>
                <w:rFonts w:hint="default" w:ascii="Times New Roman" w:hAnsi="Times New Roman" w:eastAsia="宋体" w:cs="Times New Roman"/>
                <w:color w:val="auto"/>
                <w:kern w:val="2"/>
                <w:sz w:val="24"/>
                <w:szCs w:val="24"/>
                <w:highlight w:val="none"/>
                <w:lang w:val="en-US" w:eastAsia="zh-CN"/>
              </w:rPr>
              <w:t>温度</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130℃</w:t>
            </w:r>
            <w:r>
              <w:rPr>
                <w:rFonts w:hint="eastAsia" w:ascii="Times New Roman" w:hAnsi="Times New Roman" w:eastAsia="宋体" w:cs="Times New Roman"/>
                <w:color w:val="auto"/>
                <w:kern w:val="2"/>
                <w:sz w:val="24"/>
                <w:szCs w:val="24"/>
                <w:highlight w:val="none"/>
                <w:lang w:val="en-US" w:eastAsia="zh-CN"/>
              </w:rPr>
              <w:t>和200℃）</w:t>
            </w:r>
            <w:r>
              <w:rPr>
                <w:rFonts w:hint="default" w:ascii="Times New Roman" w:hAnsi="Times New Roman" w:eastAsia="宋体" w:cs="Times New Roman"/>
                <w:color w:val="auto"/>
                <w:kern w:val="2"/>
                <w:sz w:val="24"/>
                <w:szCs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故而本项目认为</w:t>
            </w:r>
            <w:r>
              <w:rPr>
                <w:rFonts w:hint="default" w:ascii="Times New Roman" w:hAnsi="Times New Roman" w:eastAsia="宋体" w:cs="Times New Roman"/>
                <w:color w:val="auto"/>
                <w:kern w:val="2"/>
                <w:sz w:val="24"/>
                <w:szCs w:val="24"/>
                <w:highlight w:val="none"/>
                <w:lang w:val="en-US" w:eastAsia="zh-CN"/>
              </w:rPr>
              <w:t>PVC</w:t>
            </w:r>
            <w:r>
              <w:rPr>
                <w:rFonts w:hint="eastAsia" w:ascii="Times New Roman" w:hAnsi="Times New Roman" w:eastAsia="宋体" w:cs="Times New Roman"/>
                <w:color w:val="auto"/>
                <w:kern w:val="2"/>
                <w:sz w:val="24"/>
                <w:szCs w:val="24"/>
                <w:highlight w:val="none"/>
                <w:lang w:val="en-US" w:eastAsia="zh-CN"/>
              </w:rPr>
              <w:t>膜和TPU膜不会产生高温分解</w:t>
            </w:r>
            <w:r>
              <w:rPr>
                <w:rFonts w:hint="default" w:ascii="Times New Roman" w:hAnsi="Times New Roman" w:eastAsia="宋体" w:cs="Times New Roman"/>
                <w:color w:val="auto"/>
                <w:kern w:val="2"/>
                <w:sz w:val="24"/>
                <w:szCs w:val="24"/>
                <w:highlight w:val="none"/>
                <w:lang w:val="en-US" w:eastAsia="zh-CN"/>
              </w:rPr>
              <w:t>。因此本环评认为该工序有机废气产生量极小，可忽略不计，仅在设备运行时产生的机械噪声N</w:t>
            </w:r>
            <w:r>
              <w:rPr>
                <w:rFonts w:hint="eastAsia" w:ascii="Times New Roman" w:hAnsi="Times New Roman" w:eastAsia="宋体"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lang w:val="en-US" w:eastAsia="zh-CN"/>
              </w:rPr>
              <w:t>。</w:t>
            </w:r>
          </w:p>
          <w:p w14:paraId="6FFF4B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高温成型：首先将PVC拉丝料加热形成均匀的熔体；随后，拉丝料通过挤出拉伸形成高强度丝线，以夹网料作为增强骨架。在成型阶段，材料被送入高温模具（通常通过热压焊接），在精确控制的温度（约160-200℃）与压力下，PVC熔体与夹网层充分熔合渗透，经冷却定型后形成兼具柔韧性、耐压与气密性充气床主体受力层。该过程会产生有机废气G3及</w:t>
            </w:r>
            <w:r>
              <w:rPr>
                <w:rFonts w:hint="default" w:ascii="Times New Roman" w:hAnsi="Times New Roman" w:eastAsia="宋体" w:cs="Times New Roman"/>
                <w:color w:val="auto"/>
                <w:kern w:val="2"/>
                <w:sz w:val="24"/>
                <w:szCs w:val="24"/>
                <w:highlight w:val="none"/>
                <w:lang w:val="en-US" w:eastAsia="zh-CN"/>
              </w:rPr>
              <w:t>设备运行时产生的机械噪声N</w:t>
            </w:r>
            <w:r>
              <w:rPr>
                <w:rFonts w:hint="eastAsia" w:ascii="Times New Roman" w:hAnsi="Times New Roman" w:eastAsia="宋体"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lang w:val="en-US" w:eastAsia="zh-CN"/>
              </w:rPr>
              <w:t>。</w:t>
            </w:r>
          </w:p>
          <w:p w14:paraId="119F6F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检验：</w:t>
            </w:r>
            <w:r>
              <w:rPr>
                <w:rFonts w:hint="eastAsia" w:ascii="Times New Roman" w:hAnsi="Times New Roman" w:eastAsia="宋体" w:cs="Times New Roman"/>
                <w:color w:val="auto"/>
                <w:kern w:val="2"/>
                <w:sz w:val="24"/>
                <w:szCs w:val="24"/>
                <w:highlight w:val="none"/>
                <w:lang w:val="en-US" w:eastAsia="zh-CN"/>
              </w:rPr>
              <w:t>利用空压机</w:t>
            </w:r>
            <w:r>
              <w:rPr>
                <w:rFonts w:hint="default" w:ascii="Times New Roman" w:hAnsi="Times New Roman" w:eastAsia="宋体" w:cs="Times New Roman"/>
                <w:color w:val="auto"/>
                <w:kern w:val="2"/>
                <w:sz w:val="24"/>
                <w:szCs w:val="24"/>
                <w:highlight w:val="none"/>
                <w:lang w:val="en-US" w:eastAsia="zh-CN"/>
              </w:rPr>
              <w:t>检验气密性。该工序会产生不合格品S4</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设备运行时产生的机械噪声N</w:t>
            </w:r>
            <w:r>
              <w:rPr>
                <w:rFonts w:hint="eastAsia" w:ascii="Times New Roman" w:hAnsi="Times New Roman" w:eastAsia="宋体" w:cs="Times New Roman"/>
                <w:color w:val="auto"/>
                <w:kern w:val="2"/>
                <w:sz w:val="24"/>
                <w:szCs w:val="24"/>
                <w:highlight w:val="none"/>
                <w:lang w:val="en-US" w:eastAsia="zh-CN"/>
              </w:rPr>
              <w:t>5</w:t>
            </w:r>
            <w:r>
              <w:rPr>
                <w:rFonts w:hint="default" w:ascii="Times New Roman" w:hAnsi="Times New Roman" w:eastAsia="宋体" w:cs="Times New Roman"/>
                <w:color w:val="auto"/>
                <w:kern w:val="2"/>
                <w:sz w:val="24"/>
                <w:szCs w:val="24"/>
                <w:highlight w:val="none"/>
                <w:lang w:val="en-US" w:eastAsia="zh-CN"/>
              </w:rPr>
              <w:t>。</w:t>
            </w:r>
          </w:p>
          <w:p w14:paraId="17A34772">
            <w:pPr>
              <w:snapToGrid w:val="0"/>
              <w:spacing w:line="360" w:lineRule="auto"/>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rPr>
              <w:t>表2</w:t>
            </w:r>
            <w:r>
              <w:rPr>
                <w:rFonts w:hint="eastAsia" w:ascii="Times New Roman" w:hAnsi="Times New Roman" w:eastAsia="宋体" w:cs="Times New Roman"/>
                <w:b/>
                <w:color w:val="auto"/>
                <w:sz w:val="24"/>
                <w:highlight w:val="none"/>
                <w:lang w:val="en-US" w:eastAsia="zh-CN"/>
              </w:rPr>
              <w:t>.8-1</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项目产污环节汇总表</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83"/>
              <w:gridCol w:w="909"/>
              <w:gridCol w:w="936"/>
              <w:gridCol w:w="1539"/>
              <w:gridCol w:w="1606"/>
              <w:gridCol w:w="2498"/>
            </w:tblGrid>
            <w:tr w14:paraId="257560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4" w:hRule="atLeast"/>
                <w:tblHeader/>
                <w:jc w:val="center"/>
              </w:trPr>
              <w:tc>
                <w:tcPr>
                  <w:tcW w:w="1629" w:type="pct"/>
                  <w:gridSpan w:val="3"/>
                  <w:tcBorders>
                    <w:right w:val="single" w:color="auto" w:sz="4" w:space="0"/>
                  </w:tcBorders>
                  <w:noWrap w:val="0"/>
                  <w:vAlign w:val="center"/>
                </w:tcPr>
                <w:p w14:paraId="4641A6FF">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污染类别</w:t>
                  </w:r>
                </w:p>
              </w:tc>
              <w:tc>
                <w:tcPr>
                  <w:tcW w:w="919" w:type="pct"/>
                  <w:tcBorders>
                    <w:left w:val="single" w:color="auto" w:sz="4" w:space="0"/>
                    <w:right w:val="single" w:color="auto" w:sz="4" w:space="0"/>
                  </w:tcBorders>
                  <w:noWrap w:val="0"/>
                  <w:vAlign w:val="center"/>
                </w:tcPr>
                <w:p w14:paraId="0CFCA6E5">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产污环节</w:t>
                  </w:r>
                </w:p>
              </w:tc>
              <w:tc>
                <w:tcPr>
                  <w:tcW w:w="959" w:type="pct"/>
                  <w:tcBorders>
                    <w:left w:val="single" w:color="auto" w:sz="4" w:space="0"/>
                  </w:tcBorders>
                  <w:noWrap w:val="0"/>
                  <w:vAlign w:val="center"/>
                </w:tcPr>
                <w:p w14:paraId="3D0CF2E4">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主要污染物</w:t>
                  </w:r>
                </w:p>
              </w:tc>
              <w:tc>
                <w:tcPr>
                  <w:tcW w:w="1491" w:type="pct"/>
                  <w:tcBorders>
                    <w:left w:val="single" w:color="auto" w:sz="4" w:space="0"/>
                  </w:tcBorders>
                  <w:noWrap w:val="0"/>
                  <w:vAlign w:val="center"/>
                </w:tcPr>
                <w:p w14:paraId="50FB5E45">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防治措施及排放去向</w:t>
                  </w:r>
                </w:p>
              </w:tc>
            </w:tr>
            <w:tr w14:paraId="299891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7" w:hRule="atLeast"/>
                <w:jc w:val="center"/>
              </w:trPr>
              <w:tc>
                <w:tcPr>
                  <w:tcW w:w="527" w:type="pct"/>
                  <w:tcBorders>
                    <w:right w:val="single" w:color="auto" w:sz="4" w:space="0"/>
                  </w:tcBorders>
                  <w:noWrap w:val="0"/>
                  <w:vAlign w:val="center"/>
                </w:tcPr>
                <w:p w14:paraId="0C09CDCA">
                  <w:pPr>
                    <w:widowControl/>
                    <w:spacing w:line="340" w:lineRule="exact"/>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废水</w:t>
                  </w:r>
                </w:p>
              </w:tc>
              <w:tc>
                <w:tcPr>
                  <w:tcW w:w="543" w:type="pct"/>
                  <w:tcBorders>
                    <w:left w:val="single" w:color="auto" w:sz="4" w:space="0"/>
                  </w:tcBorders>
                  <w:noWrap w:val="0"/>
                  <w:vAlign w:val="center"/>
                </w:tcPr>
                <w:p w14:paraId="16F68F75">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sz w:val="21"/>
                      <w:szCs w:val="21"/>
                      <w:highlight w:val="none"/>
                      <w:lang w:val="en-US" w:eastAsia="zh-CN"/>
                    </w:rPr>
                    <w:t>/</w:t>
                  </w:r>
                </w:p>
              </w:tc>
              <w:tc>
                <w:tcPr>
                  <w:tcW w:w="559" w:type="pct"/>
                  <w:tcBorders>
                    <w:left w:val="single" w:color="auto" w:sz="4" w:space="0"/>
                  </w:tcBorders>
                  <w:noWrap w:val="0"/>
                  <w:vAlign w:val="center"/>
                </w:tcPr>
                <w:p w14:paraId="10716574">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生活污水</w:t>
                  </w:r>
                </w:p>
              </w:tc>
              <w:tc>
                <w:tcPr>
                  <w:tcW w:w="919" w:type="pct"/>
                  <w:tcBorders>
                    <w:left w:val="single" w:color="auto" w:sz="4" w:space="0"/>
                  </w:tcBorders>
                  <w:noWrap w:val="0"/>
                  <w:vAlign w:val="center"/>
                </w:tcPr>
                <w:p w14:paraId="4E2C6425">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员工日常生活</w:t>
                  </w:r>
                </w:p>
              </w:tc>
              <w:tc>
                <w:tcPr>
                  <w:tcW w:w="959" w:type="pct"/>
                  <w:noWrap w:val="0"/>
                  <w:vAlign w:val="center"/>
                </w:tcPr>
                <w:p w14:paraId="01332F80">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COD</w:t>
                  </w: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2"/>
                      <w:sz w:val="21"/>
                      <w:szCs w:val="21"/>
                      <w:highlight w:val="none"/>
                    </w:rPr>
                    <w:t>NH</w:t>
                  </w:r>
                  <w:r>
                    <w:rPr>
                      <w:rFonts w:hint="default" w:ascii="Times New Roman" w:hAnsi="Times New Roman" w:cs="Times New Roman"/>
                      <w:color w:val="auto"/>
                      <w:kern w:val="2"/>
                      <w:sz w:val="21"/>
                      <w:szCs w:val="21"/>
                      <w:highlight w:val="none"/>
                      <w:vertAlign w:val="subscript"/>
                    </w:rPr>
                    <w:t>3</w:t>
                  </w:r>
                  <w:r>
                    <w:rPr>
                      <w:rFonts w:hint="default" w:ascii="Times New Roman" w:hAnsi="Times New Roman" w:cs="Times New Roman"/>
                      <w:color w:val="auto"/>
                      <w:kern w:val="2"/>
                      <w:sz w:val="21"/>
                      <w:szCs w:val="21"/>
                      <w:highlight w:val="none"/>
                    </w:rPr>
                    <w:t>-N</w:t>
                  </w:r>
                  <w:r>
                    <w:rPr>
                      <w:rFonts w:hint="default" w:ascii="Times New Roman" w:hAnsi="Times New Roman" w:eastAsia="宋体" w:cs="Times New Roman"/>
                      <w:color w:val="auto"/>
                      <w:kern w:val="0"/>
                      <w:sz w:val="21"/>
                      <w:szCs w:val="21"/>
                      <w:highlight w:val="none"/>
                      <w:lang w:val="en-US" w:eastAsia="zh-CN" w:bidi="ar"/>
                    </w:rPr>
                    <w:t>、SS</w:t>
                  </w:r>
                </w:p>
              </w:tc>
              <w:tc>
                <w:tcPr>
                  <w:tcW w:w="1491" w:type="pct"/>
                  <w:noWrap w:val="0"/>
                  <w:vAlign w:val="center"/>
                </w:tcPr>
                <w:p w14:paraId="1D139CDD">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经由</w:t>
                  </w:r>
                  <w:r>
                    <w:rPr>
                      <w:rFonts w:hint="default" w:ascii="Times New Roman" w:hAnsi="Times New Roman" w:eastAsia="宋体" w:cs="Times New Roman"/>
                      <w:sz w:val="21"/>
                      <w:szCs w:val="21"/>
                      <w:highlight w:val="none"/>
                      <w:lang w:val="en-US" w:eastAsia="zh-CN"/>
                    </w:rPr>
                    <w:t>化粪池</w:t>
                  </w:r>
                  <w:r>
                    <w:rPr>
                      <w:rFonts w:hint="eastAsia" w:ascii="Times New Roman" w:hAnsi="Times New Roman" w:eastAsia="宋体" w:cs="Times New Roman"/>
                      <w:sz w:val="21"/>
                      <w:szCs w:val="21"/>
                      <w:highlight w:val="none"/>
                      <w:lang w:val="en-US" w:eastAsia="zh-CN"/>
                    </w:rPr>
                    <w:t>处理后，排入</w:t>
                  </w:r>
                  <w:r>
                    <w:rPr>
                      <w:rFonts w:hint="default" w:ascii="Times New Roman" w:hAnsi="Times New Roman" w:eastAsia="宋体" w:cs="Times New Roman"/>
                      <w:sz w:val="21"/>
                      <w:szCs w:val="21"/>
                      <w:highlight w:val="none"/>
                      <w:lang w:val="en-US" w:eastAsia="zh-CN"/>
                    </w:rPr>
                    <w:t>蓬壶镇污水处理厂</w:t>
                  </w:r>
                  <w:r>
                    <w:rPr>
                      <w:rFonts w:hint="eastAsia" w:ascii="Times New Roman" w:hAnsi="Times New Roman" w:eastAsia="宋体" w:cs="Times New Roman"/>
                      <w:sz w:val="21"/>
                      <w:szCs w:val="21"/>
                      <w:highlight w:val="none"/>
                      <w:lang w:val="en-US" w:eastAsia="zh-CN"/>
                    </w:rPr>
                    <w:t>深度处理</w:t>
                  </w:r>
                </w:p>
              </w:tc>
            </w:tr>
            <w:tr w14:paraId="4F002F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4" w:hRule="atLeast"/>
                <w:jc w:val="center"/>
              </w:trPr>
              <w:tc>
                <w:tcPr>
                  <w:tcW w:w="527" w:type="pct"/>
                  <w:vMerge w:val="restart"/>
                  <w:tcBorders>
                    <w:right w:val="single" w:color="auto" w:sz="4" w:space="0"/>
                  </w:tcBorders>
                  <w:noWrap w:val="0"/>
                  <w:vAlign w:val="center"/>
                </w:tcPr>
                <w:p w14:paraId="014595B2">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543" w:type="pct"/>
                  <w:tcBorders>
                    <w:left w:val="single" w:color="auto" w:sz="4" w:space="0"/>
                  </w:tcBorders>
                  <w:noWrap w:val="0"/>
                  <w:vAlign w:val="center"/>
                </w:tcPr>
                <w:p w14:paraId="4B6BEFB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G1</w:t>
                  </w:r>
                </w:p>
              </w:tc>
              <w:tc>
                <w:tcPr>
                  <w:tcW w:w="559" w:type="pct"/>
                  <w:vMerge w:val="restart"/>
                  <w:tcBorders>
                    <w:left w:val="single" w:color="auto" w:sz="4" w:space="0"/>
                  </w:tcBorders>
                  <w:noWrap w:val="0"/>
                  <w:vAlign w:val="center"/>
                </w:tcPr>
                <w:p w14:paraId="1A16011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有机废气</w:t>
                  </w:r>
                </w:p>
              </w:tc>
              <w:tc>
                <w:tcPr>
                  <w:tcW w:w="919" w:type="pct"/>
                  <w:tcBorders>
                    <w:left w:val="single" w:color="auto" w:sz="4" w:space="0"/>
                  </w:tcBorders>
                  <w:noWrap w:val="0"/>
                  <w:vAlign w:val="center"/>
                </w:tcPr>
                <w:p w14:paraId="0B9FA8C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调墨</w:t>
                  </w:r>
                </w:p>
              </w:tc>
              <w:tc>
                <w:tcPr>
                  <w:tcW w:w="959" w:type="pct"/>
                  <w:vMerge w:val="restart"/>
                  <w:noWrap w:val="0"/>
                  <w:vAlign w:val="center"/>
                </w:tcPr>
                <w:p w14:paraId="50F70FE4">
                  <w:pPr>
                    <w:widowControl/>
                    <w:spacing w:line="340" w:lineRule="exact"/>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非甲烷总烃</w:t>
                  </w:r>
                </w:p>
              </w:tc>
              <w:tc>
                <w:tcPr>
                  <w:tcW w:w="1491" w:type="pct"/>
                  <w:vMerge w:val="restart"/>
                  <w:noWrap w:val="0"/>
                  <w:vAlign w:val="center"/>
                </w:tcPr>
                <w:p w14:paraId="20925CA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highlight w:val="none"/>
                      <w:lang w:val="en-US" w:eastAsia="zh-CN"/>
                    </w:rPr>
                    <w:t>厂房门窗</w:t>
                  </w:r>
                  <w:r>
                    <w:rPr>
                      <w:rFonts w:hint="default" w:ascii="Times New Roman" w:hAnsi="Times New Roman" w:cs="Times New Roman"/>
                      <w:highlight w:val="none"/>
                    </w:rPr>
                    <w:t>密闭，废气经集气系统收集后由活性炭设施</w:t>
                  </w:r>
                  <w:r>
                    <w:rPr>
                      <w:rFonts w:hint="eastAsia" w:ascii="Times New Roman" w:hAnsi="Times New Roman" w:eastAsia="宋体" w:cs="Times New Roman"/>
                      <w:highlight w:val="none"/>
                      <w:lang w:val="en-US" w:eastAsia="zh-CN"/>
                    </w:rPr>
                    <w:t>吸附处理</w:t>
                  </w:r>
                  <w:r>
                    <w:rPr>
                      <w:rFonts w:hint="default" w:ascii="Times New Roman" w:hAnsi="Times New Roman" w:cs="Times New Roman"/>
                      <w:highlight w:val="none"/>
                    </w:rPr>
                    <w:t>，处理达标的废气经由排气筒排出。</w:t>
                  </w:r>
                </w:p>
              </w:tc>
            </w:tr>
            <w:tr w14:paraId="577ED4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4" w:hRule="atLeast"/>
                <w:jc w:val="center"/>
              </w:trPr>
              <w:tc>
                <w:tcPr>
                  <w:tcW w:w="527" w:type="pct"/>
                  <w:vMerge w:val="continue"/>
                  <w:tcBorders>
                    <w:right w:val="single" w:color="auto" w:sz="4" w:space="0"/>
                  </w:tcBorders>
                  <w:noWrap w:val="0"/>
                  <w:vAlign w:val="center"/>
                </w:tcPr>
                <w:p w14:paraId="7A4C6EBE">
                  <w:pPr>
                    <w:jc w:val="center"/>
                    <w:rPr>
                      <w:highlight w:val="none"/>
                    </w:rPr>
                  </w:pPr>
                </w:p>
              </w:tc>
              <w:tc>
                <w:tcPr>
                  <w:tcW w:w="543" w:type="pct"/>
                  <w:tcBorders>
                    <w:left w:val="single" w:color="auto" w:sz="4" w:space="0"/>
                  </w:tcBorders>
                  <w:noWrap w:val="0"/>
                  <w:vAlign w:val="center"/>
                </w:tcPr>
                <w:p w14:paraId="43BA887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w:t>
                  </w:r>
                  <w:r>
                    <w:rPr>
                      <w:rFonts w:hint="eastAsia" w:ascii="Times New Roman" w:hAnsi="Times New Roman" w:eastAsia="宋体" w:cs="Times New Roman"/>
                      <w:color w:val="auto"/>
                      <w:sz w:val="21"/>
                      <w:szCs w:val="21"/>
                      <w:highlight w:val="none"/>
                      <w:lang w:val="en-US" w:eastAsia="zh-CN"/>
                    </w:rPr>
                    <w:t>2</w:t>
                  </w:r>
                </w:p>
              </w:tc>
              <w:tc>
                <w:tcPr>
                  <w:tcW w:w="559" w:type="pct"/>
                  <w:vMerge w:val="continue"/>
                  <w:tcBorders>
                    <w:left w:val="single" w:color="auto" w:sz="4" w:space="0"/>
                  </w:tcBorders>
                  <w:noWrap w:val="0"/>
                  <w:vAlign w:val="center"/>
                </w:tcPr>
                <w:p w14:paraId="2ADD3363">
                  <w:pPr>
                    <w:jc w:val="center"/>
                    <w:rPr>
                      <w:rFonts w:hint="default" w:ascii="Times New Roman" w:hAnsi="Times New Roman" w:eastAsia="宋体" w:cs="Times New Roman"/>
                      <w:color w:val="auto"/>
                      <w:sz w:val="21"/>
                      <w:szCs w:val="21"/>
                      <w:highlight w:val="none"/>
                      <w:lang w:val="en-US" w:eastAsia="zh-CN"/>
                    </w:rPr>
                  </w:pPr>
                </w:p>
              </w:tc>
              <w:tc>
                <w:tcPr>
                  <w:tcW w:w="919" w:type="pct"/>
                  <w:tcBorders>
                    <w:left w:val="single" w:color="auto" w:sz="4" w:space="0"/>
                  </w:tcBorders>
                  <w:noWrap w:val="0"/>
                  <w:vAlign w:val="center"/>
                </w:tcPr>
                <w:p w14:paraId="584A696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印刷</w:t>
                  </w:r>
                </w:p>
              </w:tc>
              <w:tc>
                <w:tcPr>
                  <w:tcW w:w="959" w:type="pct"/>
                  <w:vMerge w:val="continue"/>
                  <w:noWrap w:val="0"/>
                  <w:vAlign w:val="center"/>
                </w:tcPr>
                <w:p w14:paraId="38076612">
                  <w:pPr>
                    <w:jc w:val="center"/>
                    <w:rPr>
                      <w:rFonts w:hint="default" w:ascii="Times New Roman" w:hAnsi="Times New Roman" w:eastAsia="宋体" w:cs="Times New Roman"/>
                      <w:color w:val="auto"/>
                      <w:sz w:val="21"/>
                      <w:szCs w:val="21"/>
                      <w:highlight w:val="none"/>
                      <w:lang w:val="en-US" w:eastAsia="zh-CN"/>
                    </w:rPr>
                  </w:pPr>
                </w:p>
              </w:tc>
              <w:tc>
                <w:tcPr>
                  <w:tcW w:w="1491" w:type="pct"/>
                  <w:vMerge w:val="continue"/>
                  <w:noWrap w:val="0"/>
                  <w:vAlign w:val="center"/>
                </w:tcPr>
                <w:p w14:paraId="1848544A">
                  <w:pPr>
                    <w:jc w:val="center"/>
                    <w:rPr>
                      <w:rFonts w:hint="default" w:ascii="Times New Roman" w:hAnsi="Times New Roman" w:eastAsia="宋体" w:cs="Times New Roman"/>
                      <w:color w:val="auto"/>
                      <w:sz w:val="21"/>
                      <w:szCs w:val="21"/>
                      <w:highlight w:val="none"/>
                      <w:lang w:val="en-US" w:eastAsia="zh-CN"/>
                    </w:rPr>
                  </w:pPr>
                </w:p>
              </w:tc>
            </w:tr>
            <w:tr w14:paraId="6540A1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4" w:hRule="atLeast"/>
                <w:jc w:val="center"/>
              </w:trPr>
              <w:tc>
                <w:tcPr>
                  <w:tcW w:w="527" w:type="pct"/>
                  <w:vMerge w:val="continue"/>
                  <w:tcBorders>
                    <w:right w:val="single" w:color="auto" w:sz="4" w:space="0"/>
                  </w:tcBorders>
                  <w:noWrap w:val="0"/>
                  <w:vAlign w:val="center"/>
                </w:tcPr>
                <w:p w14:paraId="1AB1EE14">
                  <w:pPr>
                    <w:jc w:val="center"/>
                    <w:rPr>
                      <w:highlight w:val="none"/>
                    </w:rPr>
                  </w:pPr>
                </w:p>
              </w:tc>
              <w:tc>
                <w:tcPr>
                  <w:tcW w:w="543" w:type="pct"/>
                  <w:tcBorders>
                    <w:left w:val="single" w:color="auto" w:sz="4" w:space="0"/>
                  </w:tcBorders>
                  <w:noWrap w:val="0"/>
                  <w:vAlign w:val="center"/>
                </w:tcPr>
                <w:p w14:paraId="00EA14B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G3</w:t>
                  </w:r>
                </w:p>
              </w:tc>
              <w:tc>
                <w:tcPr>
                  <w:tcW w:w="559" w:type="pct"/>
                  <w:vMerge w:val="continue"/>
                  <w:tcBorders>
                    <w:left w:val="single" w:color="auto" w:sz="4" w:space="0"/>
                  </w:tcBorders>
                  <w:noWrap w:val="0"/>
                  <w:vAlign w:val="center"/>
                </w:tcPr>
                <w:p w14:paraId="6DDF71DB">
                  <w:pPr>
                    <w:jc w:val="center"/>
                    <w:rPr>
                      <w:rFonts w:hint="default" w:ascii="Times New Roman" w:hAnsi="Times New Roman" w:eastAsia="宋体" w:cs="Times New Roman"/>
                      <w:color w:val="auto"/>
                      <w:sz w:val="21"/>
                      <w:szCs w:val="21"/>
                      <w:highlight w:val="none"/>
                      <w:lang w:val="en-US" w:eastAsia="zh-CN"/>
                    </w:rPr>
                  </w:pPr>
                </w:p>
              </w:tc>
              <w:tc>
                <w:tcPr>
                  <w:tcW w:w="919" w:type="pct"/>
                  <w:tcBorders>
                    <w:left w:val="single" w:color="auto" w:sz="4" w:space="0"/>
                  </w:tcBorders>
                  <w:noWrap w:val="0"/>
                  <w:vAlign w:val="center"/>
                </w:tcPr>
                <w:p w14:paraId="2A827B1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高温成型</w:t>
                  </w:r>
                </w:p>
              </w:tc>
              <w:tc>
                <w:tcPr>
                  <w:tcW w:w="959" w:type="pct"/>
                  <w:vMerge w:val="continue"/>
                  <w:noWrap w:val="0"/>
                  <w:vAlign w:val="center"/>
                </w:tcPr>
                <w:p w14:paraId="13FF6E78">
                  <w:pPr>
                    <w:jc w:val="center"/>
                    <w:rPr>
                      <w:rFonts w:hint="default" w:ascii="Times New Roman" w:hAnsi="Times New Roman" w:eastAsia="宋体" w:cs="Times New Roman"/>
                      <w:color w:val="auto"/>
                      <w:sz w:val="21"/>
                      <w:szCs w:val="21"/>
                      <w:highlight w:val="none"/>
                      <w:lang w:val="en-US" w:eastAsia="zh-CN"/>
                    </w:rPr>
                  </w:pPr>
                </w:p>
              </w:tc>
              <w:tc>
                <w:tcPr>
                  <w:tcW w:w="1491" w:type="pct"/>
                  <w:vMerge w:val="continue"/>
                  <w:noWrap w:val="0"/>
                  <w:vAlign w:val="center"/>
                </w:tcPr>
                <w:p w14:paraId="04F75230">
                  <w:pPr>
                    <w:jc w:val="center"/>
                    <w:rPr>
                      <w:rFonts w:hint="default" w:ascii="Times New Roman" w:hAnsi="Times New Roman" w:eastAsia="宋体" w:cs="Times New Roman"/>
                      <w:color w:val="auto"/>
                      <w:sz w:val="21"/>
                      <w:szCs w:val="21"/>
                      <w:highlight w:val="none"/>
                      <w:lang w:val="en-US" w:eastAsia="zh-CN"/>
                    </w:rPr>
                  </w:pPr>
                </w:p>
              </w:tc>
            </w:tr>
            <w:tr w14:paraId="767476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1" w:hRule="atLeast"/>
                <w:jc w:val="center"/>
              </w:trPr>
              <w:tc>
                <w:tcPr>
                  <w:tcW w:w="527" w:type="pct"/>
                  <w:vMerge w:val="restart"/>
                  <w:tcBorders>
                    <w:right w:val="single" w:color="auto" w:sz="4" w:space="0"/>
                  </w:tcBorders>
                  <w:noWrap w:val="0"/>
                  <w:vAlign w:val="center"/>
                </w:tcPr>
                <w:p w14:paraId="59B6BCB8">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543" w:type="pct"/>
                  <w:tcBorders>
                    <w:left w:val="single" w:color="auto" w:sz="4" w:space="0"/>
                  </w:tcBorders>
                  <w:noWrap w:val="0"/>
                  <w:vAlign w:val="center"/>
                </w:tcPr>
                <w:p w14:paraId="4BBD4A7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S1、S2</w:t>
                  </w:r>
                </w:p>
              </w:tc>
              <w:tc>
                <w:tcPr>
                  <w:tcW w:w="559" w:type="pct"/>
                  <w:vMerge w:val="restart"/>
                  <w:tcBorders>
                    <w:left w:val="single" w:color="auto" w:sz="4" w:space="0"/>
                  </w:tcBorders>
                  <w:noWrap w:val="0"/>
                  <w:vAlign w:val="center"/>
                </w:tcPr>
                <w:p w14:paraId="1AA6BDA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一般工业废物</w:t>
                  </w:r>
                </w:p>
              </w:tc>
              <w:tc>
                <w:tcPr>
                  <w:tcW w:w="919" w:type="pct"/>
                  <w:tcBorders>
                    <w:left w:val="single" w:color="auto" w:sz="4" w:space="0"/>
                  </w:tcBorders>
                  <w:noWrap w:val="0"/>
                  <w:vAlign w:val="center"/>
                </w:tcPr>
                <w:p w14:paraId="6744173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裁切</w:t>
                  </w:r>
                </w:p>
              </w:tc>
              <w:tc>
                <w:tcPr>
                  <w:tcW w:w="959" w:type="pct"/>
                  <w:noWrap w:val="0"/>
                  <w:vAlign w:val="center"/>
                </w:tcPr>
                <w:p w14:paraId="3464010D">
                  <w:pPr>
                    <w:widowControl/>
                    <w:spacing w:line="34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边角料</w:t>
                  </w:r>
                </w:p>
              </w:tc>
              <w:tc>
                <w:tcPr>
                  <w:tcW w:w="1491" w:type="pct"/>
                  <w:vMerge w:val="restart"/>
                  <w:noWrap w:val="0"/>
                  <w:vAlign w:val="center"/>
                </w:tcPr>
                <w:p w14:paraId="737DA732">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委托有主体资格和技术能力的单位处置</w:t>
                  </w:r>
                </w:p>
              </w:tc>
            </w:tr>
            <w:tr w14:paraId="09A96F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27" w:type="pct"/>
                  <w:vMerge w:val="continue"/>
                  <w:tcBorders>
                    <w:right w:val="single" w:color="auto" w:sz="4" w:space="0"/>
                  </w:tcBorders>
                  <w:noWrap w:val="0"/>
                  <w:vAlign w:val="center"/>
                </w:tcPr>
                <w:p w14:paraId="65BE36EA">
                  <w:pPr>
                    <w:jc w:val="center"/>
                    <w:rPr>
                      <w:rFonts w:hint="default" w:ascii="Times New Roman" w:hAnsi="Times New Roman" w:eastAsia="宋体" w:cs="Times New Roman"/>
                      <w:highlight w:val="none"/>
                    </w:rPr>
                  </w:pPr>
                </w:p>
              </w:tc>
              <w:tc>
                <w:tcPr>
                  <w:tcW w:w="543" w:type="pct"/>
                  <w:tcBorders>
                    <w:left w:val="single" w:color="auto" w:sz="4" w:space="0"/>
                  </w:tcBorders>
                  <w:noWrap w:val="0"/>
                  <w:vAlign w:val="center"/>
                </w:tcPr>
                <w:p w14:paraId="2A2EFD9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S4</w:t>
                  </w:r>
                </w:p>
              </w:tc>
              <w:tc>
                <w:tcPr>
                  <w:tcW w:w="559" w:type="pct"/>
                  <w:vMerge w:val="continue"/>
                  <w:tcBorders>
                    <w:left w:val="single" w:color="auto" w:sz="4" w:space="0"/>
                  </w:tcBorders>
                  <w:noWrap w:val="0"/>
                  <w:vAlign w:val="center"/>
                </w:tcPr>
                <w:p w14:paraId="6FE3BD99">
                  <w:pPr>
                    <w:jc w:val="center"/>
                    <w:rPr>
                      <w:rFonts w:hint="default" w:ascii="Times New Roman" w:hAnsi="Times New Roman" w:eastAsia="宋体" w:cs="Times New Roman"/>
                      <w:color w:val="auto"/>
                      <w:sz w:val="21"/>
                      <w:szCs w:val="21"/>
                      <w:highlight w:val="none"/>
                      <w:lang w:val="en-US" w:eastAsia="zh-CN"/>
                    </w:rPr>
                  </w:pPr>
                </w:p>
              </w:tc>
              <w:tc>
                <w:tcPr>
                  <w:tcW w:w="919" w:type="pct"/>
                  <w:tcBorders>
                    <w:left w:val="single" w:color="auto" w:sz="4" w:space="0"/>
                  </w:tcBorders>
                  <w:noWrap w:val="0"/>
                  <w:vAlign w:val="center"/>
                </w:tcPr>
                <w:p w14:paraId="5C68E56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检验</w:t>
                  </w:r>
                </w:p>
              </w:tc>
              <w:tc>
                <w:tcPr>
                  <w:tcW w:w="959" w:type="pct"/>
                  <w:noWrap w:val="0"/>
                  <w:vAlign w:val="center"/>
                </w:tcPr>
                <w:p w14:paraId="2295BEA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不合格品</w:t>
                  </w:r>
                </w:p>
              </w:tc>
              <w:tc>
                <w:tcPr>
                  <w:tcW w:w="1491" w:type="pct"/>
                  <w:vMerge w:val="continue"/>
                  <w:noWrap w:val="0"/>
                  <w:vAlign w:val="center"/>
                </w:tcPr>
                <w:p w14:paraId="1233CAEC">
                  <w:pPr>
                    <w:jc w:val="center"/>
                    <w:rPr>
                      <w:rFonts w:hint="default" w:ascii="Times New Roman" w:hAnsi="Times New Roman" w:eastAsia="宋体" w:cs="Times New Roman"/>
                      <w:color w:val="auto"/>
                      <w:sz w:val="21"/>
                      <w:szCs w:val="21"/>
                      <w:highlight w:val="none"/>
                      <w:lang w:val="en-US" w:eastAsia="zh-CN"/>
                    </w:rPr>
                  </w:pPr>
                </w:p>
              </w:tc>
            </w:tr>
            <w:tr w14:paraId="626B8B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5" w:hRule="atLeast"/>
                <w:jc w:val="center"/>
              </w:trPr>
              <w:tc>
                <w:tcPr>
                  <w:tcW w:w="527" w:type="pct"/>
                  <w:vMerge w:val="continue"/>
                  <w:tcBorders>
                    <w:right w:val="single" w:color="auto" w:sz="4" w:space="0"/>
                  </w:tcBorders>
                  <w:noWrap w:val="0"/>
                  <w:vAlign w:val="center"/>
                </w:tcPr>
                <w:p w14:paraId="2DA1A806">
                  <w:pPr>
                    <w:jc w:val="center"/>
                    <w:rPr>
                      <w:rFonts w:hint="default" w:ascii="Times New Roman" w:hAnsi="Times New Roman" w:eastAsia="宋体" w:cs="Times New Roman"/>
                      <w:color w:val="auto"/>
                      <w:sz w:val="21"/>
                      <w:szCs w:val="21"/>
                      <w:highlight w:val="none"/>
                      <w:lang w:val="en-US" w:eastAsia="zh-CN"/>
                    </w:rPr>
                  </w:pPr>
                </w:p>
              </w:tc>
              <w:tc>
                <w:tcPr>
                  <w:tcW w:w="543" w:type="pct"/>
                  <w:vMerge w:val="restart"/>
                  <w:tcBorders>
                    <w:left w:val="single" w:color="auto" w:sz="4" w:space="0"/>
                  </w:tcBorders>
                  <w:noWrap w:val="0"/>
                  <w:vAlign w:val="center"/>
                </w:tcPr>
                <w:p w14:paraId="67B44BF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S3</w:t>
                  </w:r>
                </w:p>
              </w:tc>
              <w:tc>
                <w:tcPr>
                  <w:tcW w:w="559" w:type="pct"/>
                  <w:vMerge w:val="restart"/>
                  <w:tcBorders>
                    <w:left w:val="single" w:color="auto" w:sz="4" w:space="0"/>
                  </w:tcBorders>
                  <w:noWrap w:val="0"/>
                  <w:vAlign w:val="center"/>
                </w:tcPr>
                <w:p w14:paraId="04B5AE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919" w:type="pct"/>
                  <w:tcBorders>
                    <w:left w:val="single" w:color="auto" w:sz="4" w:space="0"/>
                  </w:tcBorders>
                  <w:noWrap w:val="0"/>
                  <w:vAlign w:val="center"/>
                </w:tcPr>
                <w:p w14:paraId="6040AD9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溶剂油墨、</w:t>
                  </w:r>
                  <w:r>
                    <w:rPr>
                      <w:rFonts w:hint="default" w:ascii="Times New Roman" w:hAnsi="Times New Roman" w:eastAsia="宋体" w:cs="Times New Roman"/>
                      <w:color w:val="auto"/>
                      <w:sz w:val="21"/>
                      <w:szCs w:val="21"/>
                      <w:highlight w:val="none"/>
                      <w:lang w:val="en-US" w:eastAsia="zh-CN"/>
                    </w:rPr>
                    <w:t>UV油墨</w:t>
                  </w:r>
                  <w:r>
                    <w:rPr>
                      <w:rFonts w:hint="eastAsia" w:ascii="Times New Roman" w:hAnsi="Times New Roman" w:eastAsia="宋体" w:cs="Times New Roman"/>
                      <w:color w:val="auto"/>
                      <w:sz w:val="21"/>
                      <w:szCs w:val="21"/>
                      <w:highlight w:val="none"/>
                      <w:lang w:val="en-US" w:eastAsia="zh-CN"/>
                    </w:rPr>
                    <w:t>、清洗剂</w:t>
                  </w:r>
                  <w:r>
                    <w:rPr>
                      <w:rFonts w:hint="default" w:ascii="Times New Roman" w:hAnsi="Times New Roman" w:eastAsia="宋体" w:cs="Times New Roman"/>
                      <w:color w:val="auto"/>
                      <w:sz w:val="21"/>
                      <w:szCs w:val="21"/>
                      <w:highlight w:val="none"/>
                      <w:lang w:val="en-US" w:eastAsia="zh-CN"/>
                    </w:rPr>
                    <w:t>的使用</w:t>
                  </w:r>
                </w:p>
              </w:tc>
              <w:tc>
                <w:tcPr>
                  <w:tcW w:w="959" w:type="pct"/>
                  <w:noWrap w:val="0"/>
                  <w:vAlign w:val="center"/>
                </w:tcPr>
                <w:p w14:paraId="280BBD1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废原料空桶</w:t>
                  </w:r>
                </w:p>
              </w:tc>
              <w:tc>
                <w:tcPr>
                  <w:tcW w:w="1491" w:type="pct"/>
                  <w:vMerge w:val="restart"/>
                  <w:noWrap w:val="0"/>
                  <w:vAlign w:val="center"/>
                </w:tcPr>
                <w:p w14:paraId="3CC77E8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暂存于危废暂存间，累积到一定量后委托有资质的单位处理</w:t>
                  </w:r>
                </w:p>
              </w:tc>
            </w:tr>
            <w:tr w14:paraId="23A70B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5" w:hRule="atLeast"/>
                <w:jc w:val="center"/>
              </w:trPr>
              <w:tc>
                <w:tcPr>
                  <w:tcW w:w="527" w:type="pct"/>
                  <w:vMerge w:val="continue"/>
                  <w:tcBorders>
                    <w:right w:val="single" w:color="auto" w:sz="4" w:space="0"/>
                  </w:tcBorders>
                  <w:noWrap w:val="0"/>
                  <w:vAlign w:val="center"/>
                </w:tcPr>
                <w:p w14:paraId="06D792ED">
                  <w:pPr>
                    <w:jc w:val="center"/>
                    <w:rPr>
                      <w:highlight w:val="none"/>
                    </w:rPr>
                  </w:pPr>
                </w:p>
              </w:tc>
              <w:tc>
                <w:tcPr>
                  <w:tcW w:w="543" w:type="pct"/>
                  <w:vMerge w:val="continue"/>
                  <w:tcBorders>
                    <w:left w:val="single" w:color="auto" w:sz="4" w:space="0"/>
                  </w:tcBorders>
                  <w:noWrap w:val="0"/>
                  <w:vAlign w:val="center"/>
                </w:tcPr>
                <w:p w14:paraId="2F8538E2">
                  <w:pPr>
                    <w:jc w:val="center"/>
                    <w:rPr>
                      <w:highlight w:val="none"/>
                    </w:rPr>
                  </w:pPr>
                </w:p>
              </w:tc>
              <w:tc>
                <w:tcPr>
                  <w:tcW w:w="559" w:type="pct"/>
                  <w:vMerge w:val="continue"/>
                  <w:tcBorders>
                    <w:left w:val="single" w:color="auto" w:sz="4" w:space="0"/>
                  </w:tcBorders>
                  <w:noWrap w:val="0"/>
                  <w:vAlign w:val="center"/>
                </w:tcPr>
                <w:p w14:paraId="2F424499">
                  <w:pPr>
                    <w:jc w:val="center"/>
                    <w:rPr>
                      <w:highlight w:val="none"/>
                    </w:rPr>
                  </w:pPr>
                </w:p>
              </w:tc>
              <w:tc>
                <w:tcPr>
                  <w:tcW w:w="919" w:type="pct"/>
                  <w:tcBorders>
                    <w:left w:val="single" w:color="auto" w:sz="4" w:space="0"/>
                  </w:tcBorders>
                  <w:noWrap w:val="0"/>
                  <w:vAlign w:val="center"/>
                </w:tcPr>
                <w:p w14:paraId="7EFF2F2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网版使用</w:t>
                  </w:r>
                </w:p>
              </w:tc>
              <w:tc>
                <w:tcPr>
                  <w:tcW w:w="959" w:type="pct"/>
                  <w:noWrap w:val="0"/>
                  <w:vAlign w:val="center"/>
                </w:tcPr>
                <w:p w14:paraId="625348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废网版</w:t>
                  </w:r>
                </w:p>
              </w:tc>
              <w:tc>
                <w:tcPr>
                  <w:tcW w:w="1491" w:type="pct"/>
                  <w:vMerge w:val="continue"/>
                  <w:noWrap w:val="0"/>
                  <w:vAlign w:val="center"/>
                </w:tcPr>
                <w:p w14:paraId="5FC9186A">
                  <w:pPr>
                    <w:jc w:val="center"/>
                    <w:rPr>
                      <w:rFonts w:hint="default" w:ascii="Times New Roman" w:hAnsi="Times New Roman" w:eastAsia="宋体" w:cs="Times New Roman"/>
                      <w:color w:val="auto"/>
                      <w:sz w:val="21"/>
                      <w:szCs w:val="21"/>
                      <w:highlight w:val="none"/>
                      <w:lang w:val="en-US" w:eastAsia="zh-CN"/>
                    </w:rPr>
                  </w:pPr>
                </w:p>
              </w:tc>
            </w:tr>
            <w:tr w14:paraId="1AC444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5" w:hRule="atLeast"/>
                <w:jc w:val="center"/>
              </w:trPr>
              <w:tc>
                <w:tcPr>
                  <w:tcW w:w="527" w:type="pct"/>
                  <w:vMerge w:val="continue"/>
                  <w:tcBorders>
                    <w:right w:val="single" w:color="auto" w:sz="4" w:space="0"/>
                  </w:tcBorders>
                  <w:noWrap w:val="0"/>
                  <w:vAlign w:val="center"/>
                </w:tcPr>
                <w:p w14:paraId="31239E35">
                  <w:pPr>
                    <w:jc w:val="center"/>
                    <w:rPr>
                      <w:rFonts w:hint="default" w:ascii="Times New Roman" w:hAnsi="Times New Roman" w:eastAsia="宋体" w:cs="Times New Roman"/>
                      <w:color w:val="auto"/>
                      <w:sz w:val="21"/>
                      <w:szCs w:val="21"/>
                      <w:highlight w:val="none"/>
                      <w:lang w:val="en-US" w:eastAsia="zh-CN"/>
                    </w:rPr>
                  </w:pPr>
                </w:p>
              </w:tc>
              <w:tc>
                <w:tcPr>
                  <w:tcW w:w="543" w:type="pct"/>
                  <w:vMerge w:val="continue"/>
                  <w:tcBorders>
                    <w:left w:val="single" w:color="auto" w:sz="4" w:space="0"/>
                  </w:tcBorders>
                  <w:noWrap w:val="0"/>
                  <w:vAlign w:val="center"/>
                </w:tcPr>
                <w:p w14:paraId="6DCACCB6">
                  <w:pPr>
                    <w:jc w:val="center"/>
                    <w:rPr>
                      <w:rFonts w:hint="default" w:ascii="Times New Roman" w:hAnsi="Times New Roman" w:eastAsia="宋体" w:cs="Times New Roman"/>
                      <w:color w:val="auto"/>
                      <w:sz w:val="21"/>
                      <w:szCs w:val="21"/>
                      <w:highlight w:val="none"/>
                      <w:lang w:val="en-US" w:eastAsia="zh-CN"/>
                    </w:rPr>
                  </w:pPr>
                </w:p>
              </w:tc>
              <w:tc>
                <w:tcPr>
                  <w:tcW w:w="559" w:type="pct"/>
                  <w:vMerge w:val="continue"/>
                  <w:tcBorders>
                    <w:left w:val="single" w:color="auto" w:sz="4" w:space="0"/>
                  </w:tcBorders>
                  <w:noWrap w:val="0"/>
                  <w:vAlign w:val="center"/>
                </w:tcPr>
                <w:p w14:paraId="6E09A0B6">
                  <w:pPr>
                    <w:jc w:val="center"/>
                    <w:rPr>
                      <w:rFonts w:hint="default" w:ascii="Times New Roman" w:hAnsi="Times New Roman" w:eastAsia="宋体" w:cs="Times New Roman"/>
                      <w:color w:val="auto"/>
                      <w:sz w:val="21"/>
                      <w:szCs w:val="21"/>
                      <w:highlight w:val="none"/>
                      <w:lang w:val="en-US" w:eastAsia="zh-CN"/>
                    </w:rPr>
                  </w:pPr>
                </w:p>
              </w:tc>
              <w:tc>
                <w:tcPr>
                  <w:tcW w:w="919" w:type="pct"/>
                  <w:tcBorders>
                    <w:left w:val="single" w:color="auto" w:sz="4" w:space="0"/>
                  </w:tcBorders>
                  <w:noWrap w:val="0"/>
                  <w:vAlign w:val="center"/>
                </w:tcPr>
                <w:p w14:paraId="7EBA564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擦拭网版</w:t>
                  </w:r>
                </w:p>
              </w:tc>
              <w:tc>
                <w:tcPr>
                  <w:tcW w:w="959" w:type="pct"/>
                  <w:noWrap w:val="0"/>
                  <w:vAlign w:val="center"/>
                </w:tcPr>
                <w:p w14:paraId="17D4ABC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含油墨抹布</w:t>
                  </w:r>
                </w:p>
              </w:tc>
              <w:tc>
                <w:tcPr>
                  <w:tcW w:w="1491" w:type="pct"/>
                  <w:vMerge w:val="continue"/>
                  <w:noWrap w:val="0"/>
                  <w:vAlign w:val="center"/>
                </w:tcPr>
                <w:p w14:paraId="290FA370">
                  <w:pPr>
                    <w:jc w:val="center"/>
                    <w:rPr>
                      <w:rFonts w:hint="default" w:ascii="Times New Roman" w:hAnsi="Times New Roman" w:eastAsia="宋体" w:cs="Times New Roman"/>
                      <w:color w:val="auto"/>
                      <w:sz w:val="21"/>
                      <w:szCs w:val="21"/>
                      <w:highlight w:val="none"/>
                      <w:lang w:val="en-US" w:eastAsia="zh-CN"/>
                    </w:rPr>
                  </w:pPr>
                </w:p>
              </w:tc>
            </w:tr>
            <w:tr w14:paraId="319D06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27" w:type="pct"/>
                  <w:vMerge w:val="continue"/>
                  <w:tcBorders>
                    <w:right w:val="single" w:color="auto" w:sz="4" w:space="0"/>
                  </w:tcBorders>
                  <w:noWrap w:val="0"/>
                  <w:vAlign w:val="center"/>
                </w:tcPr>
                <w:p w14:paraId="6BD29FC1">
                  <w:pPr>
                    <w:jc w:val="center"/>
                    <w:rPr>
                      <w:rFonts w:hint="default" w:ascii="Times New Roman" w:hAnsi="Times New Roman" w:eastAsia="宋体" w:cs="Times New Roman"/>
                      <w:color w:val="auto"/>
                      <w:sz w:val="21"/>
                      <w:szCs w:val="21"/>
                      <w:highlight w:val="none"/>
                      <w:lang w:val="en-US" w:eastAsia="zh-CN"/>
                    </w:rPr>
                  </w:pPr>
                </w:p>
              </w:tc>
              <w:tc>
                <w:tcPr>
                  <w:tcW w:w="543" w:type="pct"/>
                  <w:tcBorders>
                    <w:left w:val="single" w:color="auto" w:sz="4" w:space="0"/>
                  </w:tcBorders>
                  <w:noWrap w:val="0"/>
                  <w:vAlign w:val="center"/>
                </w:tcPr>
                <w:p w14:paraId="3713674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59" w:type="pct"/>
                  <w:vMerge w:val="continue"/>
                  <w:tcBorders>
                    <w:left w:val="single" w:color="auto" w:sz="4" w:space="0"/>
                  </w:tcBorders>
                  <w:noWrap w:val="0"/>
                  <w:vAlign w:val="center"/>
                </w:tcPr>
                <w:p w14:paraId="3D807814">
                  <w:pPr>
                    <w:jc w:val="center"/>
                    <w:rPr>
                      <w:rFonts w:hint="default" w:ascii="Times New Roman" w:hAnsi="Times New Roman" w:eastAsia="宋体" w:cs="Times New Roman"/>
                      <w:color w:val="auto"/>
                      <w:sz w:val="21"/>
                      <w:szCs w:val="21"/>
                      <w:highlight w:val="none"/>
                      <w:lang w:val="en-US" w:eastAsia="zh-CN"/>
                    </w:rPr>
                  </w:pPr>
                </w:p>
              </w:tc>
              <w:tc>
                <w:tcPr>
                  <w:tcW w:w="919" w:type="pct"/>
                  <w:tcBorders>
                    <w:left w:val="single" w:color="auto" w:sz="4" w:space="0"/>
                  </w:tcBorders>
                  <w:noWrap w:val="0"/>
                  <w:vAlign w:val="center"/>
                </w:tcPr>
                <w:p w14:paraId="00EDD15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959" w:type="pct"/>
                  <w:noWrap w:val="0"/>
                  <w:vAlign w:val="center"/>
                </w:tcPr>
                <w:p w14:paraId="3BF2036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1491" w:type="pct"/>
                  <w:vMerge w:val="continue"/>
                  <w:noWrap w:val="0"/>
                  <w:vAlign w:val="center"/>
                </w:tcPr>
                <w:p w14:paraId="73E631A5">
                  <w:pPr>
                    <w:jc w:val="center"/>
                    <w:rPr>
                      <w:rFonts w:hint="default" w:ascii="Times New Roman" w:hAnsi="Times New Roman" w:eastAsia="宋体" w:cs="Times New Roman"/>
                      <w:color w:val="auto"/>
                      <w:sz w:val="21"/>
                      <w:szCs w:val="21"/>
                      <w:highlight w:val="none"/>
                      <w:lang w:val="en-US" w:eastAsia="zh-CN"/>
                    </w:rPr>
                  </w:pPr>
                </w:p>
              </w:tc>
            </w:tr>
            <w:tr w14:paraId="4F5578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527" w:type="pct"/>
                  <w:vMerge w:val="continue"/>
                  <w:tcBorders>
                    <w:right w:val="single" w:color="auto" w:sz="4" w:space="0"/>
                  </w:tcBorders>
                  <w:noWrap w:val="0"/>
                  <w:vAlign w:val="center"/>
                </w:tcPr>
                <w:p w14:paraId="1B137C0A">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p>
              </w:tc>
              <w:tc>
                <w:tcPr>
                  <w:tcW w:w="543" w:type="pct"/>
                  <w:tcBorders>
                    <w:left w:val="single" w:color="auto" w:sz="4" w:space="0"/>
                  </w:tcBorders>
                  <w:noWrap w:val="0"/>
                  <w:vAlign w:val="center"/>
                </w:tcPr>
                <w:p w14:paraId="7F4E591B">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559" w:type="pct"/>
                  <w:tcBorders>
                    <w:left w:val="single" w:color="auto" w:sz="4" w:space="0"/>
                  </w:tcBorders>
                  <w:noWrap w:val="0"/>
                  <w:vAlign w:val="center"/>
                </w:tcPr>
                <w:p w14:paraId="37638D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919" w:type="pct"/>
                  <w:tcBorders>
                    <w:left w:val="single" w:color="auto" w:sz="4" w:space="0"/>
                  </w:tcBorders>
                  <w:noWrap w:val="0"/>
                  <w:vAlign w:val="center"/>
                </w:tcPr>
                <w:p w14:paraId="100D310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员工日常生活</w:t>
                  </w:r>
                </w:p>
              </w:tc>
              <w:tc>
                <w:tcPr>
                  <w:tcW w:w="959" w:type="pct"/>
                  <w:noWrap w:val="0"/>
                  <w:vAlign w:val="center"/>
                </w:tcPr>
                <w:p w14:paraId="1136C701">
                  <w:pPr>
                    <w:widowControl/>
                    <w:spacing w:line="340" w:lineRule="exact"/>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1491" w:type="pct"/>
                  <w:noWrap w:val="0"/>
                  <w:vAlign w:val="center"/>
                </w:tcPr>
                <w:p w14:paraId="118AA1EB">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环卫部门清运</w:t>
                  </w:r>
                </w:p>
              </w:tc>
            </w:tr>
            <w:tr w14:paraId="492603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39" w:hRule="atLeast"/>
                <w:jc w:val="center"/>
              </w:trPr>
              <w:tc>
                <w:tcPr>
                  <w:tcW w:w="527" w:type="pct"/>
                  <w:noWrap w:val="0"/>
                  <w:vAlign w:val="center"/>
                </w:tcPr>
                <w:p w14:paraId="1C911DE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543" w:type="pct"/>
                  <w:noWrap w:val="0"/>
                  <w:vAlign w:val="center"/>
                </w:tcPr>
                <w:p w14:paraId="7EC0313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N1~N</w:t>
                  </w:r>
                  <w:r>
                    <w:rPr>
                      <w:rFonts w:hint="eastAsia" w:ascii="Times New Roman" w:hAnsi="Times New Roman" w:eastAsia="宋体" w:cs="Times New Roman"/>
                      <w:color w:val="auto"/>
                      <w:sz w:val="21"/>
                      <w:szCs w:val="21"/>
                      <w:highlight w:val="none"/>
                      <w:lang w:val="en-US" w:eastAsia="zh-CN"/>
                    </w:rPr>
                    <w:t>5</w:t>
                  </w:r>
                </w:p>
              </w:tc>
              <w:tc>
                <w:tcPr>
                  <w:tcW w:w="559" w:type="pct"/>
                  <w:noWrap w:val="0"/>
                  <w:vAlign w:val="center"/>
                </w:tcPr>
                <w:p w14:paraId="4B28344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设备运行</w:t>
                  </w:r>
                </w:p>
              </w:tc>
              <w:tc>
                <w:tcPr>
                  <w:tcW w:w="919" w:type="pct"/>
                  <w:tcBorders>
                    <w:left w:val="single" w:color="auto" w:sz="4" w:space="0"/>
                  </w:tcBorders>
                  <w:noWrap w:val="0"/>
                  <w:vAlign w:val="center"/>
                </w:tcPr>
                <w:p w14:paraId="1128687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设备噪声</w:t>
                  </w:r>
                </w:p>
              </w:tc>
              <w:tc>
                <w:tcPr>
                  <w:tcW w:w="959" w:type="pct"/>
                  <w:noWrap w:val="0"/>
                  <w:vAlign w:val="center"/>
                </w:tcPr>
                <w:p w14:paraId="6A0F5715">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1491" w:type="pct"/>
                  <w:noWrap w:val="0"/>
                  <w:vAlign w:val="center"/>
                </w:tcPr>
                <w:p w14:paraId="761000D1">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隔声、减震垫等</w:t>
                  </w:r>
                </w:p>
              </w:tc>
            </w:tr>
          </w:tbl>
          <w:p w14:paraId="75AFDCE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snapToGrid w:val="0"/>
                <w:color w:val="auto"/>
                <w:kern w:val="2"/>
                <w:sz w:val="24"/>
                <w:szCs w:val="24"/>
                <w:lang w:val="en-US" w:eastAsia="zh-CN"/>
              </w:rPr>
              <w:t>（2）</w:t>
            </w:r>
            <w:r>
              <w:rPr>
                <w:rFonts w:hint="eastAsia" w:ascii="Times New Roman" w:hAnsi="Times New Roman" w:eastAsia="宋体" w:cs="Times New Roman"/>
                <w:color w:val="auto"/>
                <w:kern w:val="2"/>
                <w:sz w:val="24"/>
                <w:szCs w:val="24"/>
                <w:highlight w:val="none"/>
                <w:lang w:val="en-US" w:eastAsia="zh-CN"/>
              </w:rPr>
              <w:t>露营垫及箱包</w:t>
            </w:r>
          </w:p>
          <w:p w14:paraId="52DEEA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项目</w:t>
            </w:r>
            <w:r>
              <w:rPr>
                <w:rFonts w:hint="eastAsia" w:ascii="Times New Roman" w:hAnsi="Times New Roman" w:eastAsia="宋体" w:cs="Times New Roman"/>
                <w:color w:val="auto"/>
                <w:kern w:val="2"/>
                <w:sz w:val="24"/>
                <w:szCs w:val="24"/>
                <w:highlight w:val="none"/>
                <w:lang w:val="en-US" w:eastAsia="zh-CN"/>
              </w:rPr>
              <w:t>所</w:t>
            </w:r>
            <w:r>
              <w:rPr>
                <w:rFonts w:hint="default" w:ascii="Times New Roman" w:hAnsi="Times New Roman" w:eastAsia="宋体" w:cs="Times New Roman"/>
                <w:color w:val="auto"/>
                <w:kern w:val="2"/>
                <w:sz w:val="24"/>
                <w:szCs w:val="24"/>
                <w:highlight w:val="none"/>
              </w:rPr>
              <w:t>从事</w:t>
            </w:r>
            <w:r>
              <w:rPr>
                <w:rFonts w:hint="eastAsia" w:ascii="Times New Roman" w:hAnsi="Times New Roman" w:eastAsia="宋体" w:cs="Times New Roman"/>
                <w:color w:val="auto"/>
                <w:kern w:val="2"/>
                <w:sz w:val="24"/>
                <w:szCs w:val="24"/>
                <w:highlight w:val="none"/>
                <w:lang w:val="en-US" w:eastAsia="zh-CN"/>
              </w:rPr>
              <w:t>露营垫</w:t>
            </w:r>
            <w:r>
              <w:rPr>
                <w:rFonts w:hint="default" w:ascii="Times New Roman" w:hAnsi="Times New Roman" w:eastAsia="宋体" w:cs="Times New Roman"/>
                <w:color w:val="auto"/>
                <w:kern w:val="2"/>
                <w:sz w:val="24"/>
                <w:szCs w:val="24"/>
                <w:highlight w:val="none"/>
              </w:rPr>
              <w:t>的生产。具体生产工艺</w:t>
            </w:r>
            <w:r>
              <w:rPr>
                <w:rFonts w:hint="default" w:ascii="Times New Roman" w:hAnsi="Times New Roman" w:eastAsia="宋体" w:cs="Times New Roman"/>
                <w:color w:val="auto"/>
                <w:kern w:val="2"/>
                <w:sz w:val="24"/>
                <w:szCs w:val="24"/>
                <w:highlight w:val="none"/>
                <w:lang w:val="en-US" w:eastAsia="zh-CN"/>
              </w:rPr>
              <w:t>见</w:t>
            </w:r>
            <w:r>
              <w:rPr>
                <w:rFonts w:hint="default" w:ascii="Times New Roman" w:hAnsi="Times New Roman" w:eastAsia="宋体" w:cs="Times New Roman"/>
                <w:color w:val="auto"/>
                <w:kern w:val="2"/>
                <w:sz w:val="24"/>
                <w:szCs w:val="24"/>
                <w:highlight w:val="none"/>
              </w:rPr>
              <w:t>下</w:t>
            </w:r>
            <w:r>
              <w:rPr>
                <w:rFonts w:hint="default" w:ascii="Times New Roman" w:hAnsi="Times New Roman" w:eastAsia="宋体" w:cs="Times New Roman"/>
                <w:color w:val="auto"/>
                <w:kern w:val="2"/>
                <w:sz w:val="24"/>
                <w:szCs w:val="24"/>
                <w:highlight w:val="none"/>
                <w:lang w:val="en-US" w:eastAsia="zh-CN"/>
              </w:rPr>
              <w:t>图</w:t>
            </w:r>
            <w:r>
              <w:rPr>
                <w:rFonts w:hint="eastAsia" w:ascii="Times New Roman" w:hAnsi="Times New Roman" w:eastAsia="宋体" w:cs="Times New Roman"/>
                <w:color w:val="auto"/>
                <w:kern w:val="2"/>
                <w:sz w:val="24"/>
                <w:szCs w:val="24"/>
                <w:highlight w:val="none"/>
                <w:lang w:val="en-US" w:eastAsia="zh-CN"/>
              </w:rPr>
              <w:t>2.8-2</w:t>
            </w:r>
            <w:r>
              <w:rPr>
                <w:rFonts w:hint="default" w:ascii="Times New Roman" w:hAnsi="Times New Roman" w:eastAsia="宋体" w:cs="Times New Roman"/>
                <w:color w:val="auto"/>
                <w:kern w:val="2"/>
                <w:sz w:val="24"/>
                <w:szCs w:val="24"/>
                <w:highlight w:val="none"/>
              </w:rPr>
              <w:t>：</w:t>
            </w:r>
          </w:p>
          <w:p w14:paraId="37FB81A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color w:val="auto"/>
                <w:kern w:val="2"/>
                <w:sz w:val="24"/>
                <w:szCs w:val="24"/>
                <w:highlight w:val="none"/>
                <w:lang w:val="en-US" w:eastAsia="zh-CN"/>
              </w:rPr>
            </w:pPr>
            <w:r>
              <w:drawing>
                <wp:inline distT="0" distB="0" distL="114300" distR="114300">
                  <wp:extent cx="4138295" cy="2209800"/>
                  <wp:effectExtent l="0" t="0" r="5080" b="0"/>
                  <wp:docPr id="65" name="ECB019B1-382A-4266-B25C-5B523AA43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B019B1-382A-4266-B25C-5B523AA43C14-2"/>
                          <pic:cNvPicPr>
                            <a:picLocks noChangeAspect="1"/>
                          </pic:cNvPicPr>
                        </pic:nvPicPr>
                        <pic:blipFill>
                          <a:blip r:embed="rId13"/>
                          <a:srcRect l="4063" t="8811" r="4290" b="9870"/>
                          <a:stretch>
                            <a:fillRect/>
                          </a:stretch>
                        </pic:blipFill>
                        <pic:spPr>
                          <a:xfrm>
                            <a:off x="0" y="0"/>
                            <a:ext cx="4138295" cy="2209800"/>
                          </a:xfrm>
                          <a:prstGeom prst="rect">
                            <a:avLst/>
                          </a:prstGeom>
                        </pic:spPr>
                      </pic:pic>
                    </a:graphicData>
                  </a:graphic>
                </wp:inline>
              </w:drawing>
            </w:r>
          </w:p>
          <w:p w14:paraId="2AAACA5A">
            <w:pPr>
              <w:snapToGrid w:val="0"/>
              <w:spacing w:line="360" w:lineRule="auto"/>
              <w:jc w:val="center"/>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图2.8-2 露营垫生产工艺流程</w:t>
            </w:r>
          </w:p>
          <w:p w14:paraId="18CFB1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①露营垫工艺说明：将采购的TPU膜按照设计图纸进行裁剪，将气嘴安装至指定位置，进行剪边，对生产完成的露营垫进行充气放气成品检验，将检验合格的露营垫进行包装处理。</w:t>
            </w:r>
          </w:p>
          <w:p w14:paraId="080219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rPr>
              <w:t>项目</w:t>
            </w:r>
            <w:r>
              <w:rPr>
                <w:rFonts w:hint="eastAsia" w:ascii="Times New Roman" w:hAnsi="Times New Roman" w:eastAsia="宋体" w:cs="Times New Roman"/>
                <w:color w:val="auto"/>
                <w:kern w:val="2"/>
                <w:sz w:val="24"/>
                <w:szCs w:val="24"/>
                <w:highlight w:val="none"/>
                <w:lang w:val="en-US" w:eastAsia="zh-CN"/>
              </w:rPr>
              <w:t>所</w:t>
            </w:r>
            <w:r>
              <w:rPr>
                <w:rFonts w:hint="default" w:ascii="Times New Roman" w:hAnsi="Times New Roman" w:eastAsia="宋体" w:cs="Times New Roman"/>
                <w:color w:val="auto"/>
                <w:kern w:val="2"/>
                <w:sz w:val="24"/>
                <w:szCs w:val="24"/>
                <w:highlight w:val="none"/>
              </w:rPr>
              <w:t>从事</w:t>
            </w:r>
            <w:r>
              <w:rPr>
                <w:rFonts w:hint="eastAsia" w:ascii="Times New Roman" w:hAnsi="Times New Roman" w:eastAsia="宋体" w:cs="Times New Roman"/>
                <w:color w:val="auto"/>
                <w:kern w:val="2"/>
                <w:sz w:val="24"/>
                <w:szCs w:val="24"/>
                <w:highlight w:val="none"/>
                <w:lang w:val="en-US" w:eastAsia="zh-CN"/>
              </w:rPr>
              <w:t>箱包</w:t>
            </w:r>
            <w:r>
              <w:rPr>
                <w:rFonts w:hint="default" w:ascii="Times New Roman" w:hAnsi="Times New Roman" w:eastAsia="宋体" w:cs="Times New Roman"/>
                <w:color w:val="auto"/>
                <w:kern w:val="2"/>
                <w:sz w:val="24"/>
                <w:szCs w:val="24"/>
                <w:highlight w:val="none"/>
              </w:rPr>
              <w:t>的生产。具体生产工艺</w:t>
            </w:r>
            <w:r>
              <w:rPr>
                <w:rFonts w:hint="default" w:ascii="Times New Roman" w:hAnsi="Times New Roman" w:eastAsia="宋体" w:cs="Times New Roman"/>
                <w:color w:val="auto"/>
                <w:kern w:val="2"/>
                <w:sz w:val="24"/>
                <w:szCs w:val="24"/>
                <w:highlight w:val="none"/>
                <w:lang w:val="en-US" w:eastAsia="zh-CN"/>
              </w:rPr>
              <w:t>见</w:t>
            </w:r>
            <w:r>
              <w:rPr>
                <w:rFonts w:hint="default" w:ascii="Times New Roman" w:hAnsi="Times New Roman" w:eastAsia="宋体" w:cs="Times New Roman"/>
                <w:color w:val="auto"/>
                <w:kern w:val="2"/>
                <w:sz w:val="24"/>
                <w:szCs w:val="24"/>
                <w:highlight w:val="none"/>
              </w:rPr>
              <w:t>下</w:t>
            </w:r>
            <w:r>
              <w:rPr>
                <w:rFonts w:hint="default" w:ascii="Times New Roman" w:hAnsi="Times New Roman" w:eastAsia="宋体" w:cs="Times New Roman"/>
                <w:color w:val="auto"/>
                <w:kern w:val="2"/>
                <w:sz w:val="24"/>
                <w:szCs w:val="24"/>
                <w:highlight w:val="none"/>
                <w:lang w:val="en-US" w:eastAsia="zh-CN"/>
              </w:rPr>
              <w:t>图</w:t>
            </w:r>
            <w:r>
              <w:rPr>
                <w:rFonts w:hint="eastAsia" w:ascii="Times New Roman" w:hAnsi="Times New Roman" w:eastAsia="宋体" w:cs="Times New Roman"/>
                <w:color w:val="auto"/>
                <w:kern w:val="2"/>
                <w:sz w:val="24"/>
                <w:szCs w:val="24"/>
                <w:highlight w:val="none"/>
                <w:lang w:val="en-US" w:eastAsia="zh-CN"/>
              </w:rPr>
              <w:t>2.8-3</w:t>
            </w:r>
            <w:r>
              <w:rPr>
                <w:rFonts w:hint="default" w:ascii="Times New Roman" w:hAnsi="Times New Roman" w:eastAsia="宋体" w:cs="Times New Roman"/>
                <w:color w:val="auto"/>
                <w:kern w:val="2"/>
                <w:sz w:val="24"/>
                <w:szCs w:val="24"/>
                <w:highlight w:val="none"/>
              </w:rPr>
              <w:t>：</w:t>
            </w:r>
          </w:p>
          <w:p w14:paraId="5CA0AD66">
            <w:pPr>
              <w:snapToGrid w:val="0"/>
              <w:spacing w:line="360" w:lineRule="auto"/>
              <w:jc w:val="center"/>
              <w:rPr>
                <w:rFonts w:hint="eastAsia" w:ascii="Times New Roman" w:hAnsi="Times New Roman" w:eastAsia="宋体" w:cs="Times New Roman"/>
                <w:b/>
                <w:color w:val="auto"/>
                <w:sz w:val="24"/>
                <w:highlight w:val="none"/>
                <w:lang w:val="en-US" w:eastAsia="zh-CN"/>
              </w:rPr>
            </w:pPr>
            <w:r>
              <w:rPr>
                <w:highlight w:val="none"/>
              </w:rPr>
              <w:drawing>
                <wp:inline distT="0" distB="0" distL="114300" distR="114300">
                  <wp:extent cx="5392420" cy="1287145"/>
                  <wp:effectExtent l="0" t="0" r="0" b="0"/>
                  <wp:docPr id="3" name="ECB019B1-382A-4266-B25C-5B523AA43C14-3" descr="C:/Users/CXH/AppData/Local/Temp/wps.iSOsT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CXH/AppData/Local/Temp/wps.iSOsTqwps"/>
                          <pic:cNvPicPr>
                            <a:picLocks noChangeAspect="1"/>
                          </pic:cNvPicPr>
                        </pic:nvPicPr>
                        <pic:blipFill>
                          <a:blip r:embed="rId14"/>
                          <a:stretch>
                            <a:fillRect/>
                          </a:stretch>
                        </pic:blipFill>
                        <pic:spPr>
                          <a:xfrm>
                            <a:off x="0" y="0"/>
                            <a:ext cx="5392420" cy="1287145"/>
                          </a:xfrm>
                          <a:prstGeom prst="rect">
                            <a:avLst/>
                          </a:prstGeom>
                        </pic:spPr>
                      </pic:pic>
                    </a:graphicData>
                  </a:graphic>
                </wp:inline>
              </w:drawing>
            </w:r>
          </w:p>
          <w:p w14:paraId="443D5A17">
            <w:pPr>
              <w:snapToGrid w:val="0"/>
              <w:spacing w:line="360" w:lineRule="auto"/>
              <w:jc w:val="center"/>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图2.8-3  箱包生产工艺流程</w:t>
            </w:r>
          </w:p>
          <w:p w14:paraId="0DFDA3D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②箱包工艺说明：利用裁床和切片机对TPU膜进行裁剪，将裁剪好的裁片利用针车进行车缝，形成箱包的各个部件，对各部件进行高频焊接组装，以确保箱包的稳定性及耐用性，对生产完成的箱包进行成品检验，包括外观检查、功能测试等，将检验合格的箱包进行包装处理。</w:t>
            </w:r>
          </w:p>
          <w:p w14:paraId="2380DD47">
            <w:pPr>
              <w:widowControl/>
              <w:spacing w:line="360" w:lineRule="auto"/>
              <w:ind w:firstLine="480" w:firstLineChars="200"/>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③产污环节</w:t>
            </w:r>
          </w:p>
          <w:p w14:paraId="619F1BAC">
            <w:pPr>
              <w:widowControl/>
              <w:spacing w:line="360" w:lineRule="auto"/>
              <w:ind w:firstLine="480" w:firstLineChars="200"/>
              <w:rPr>
                <w:rFonts w:cs="宋体"/>
                <w:bCs/>
                <w:sz w:val="24"/>
                <w:highlight w:val="none"/>
              </w:rPr>
            </w:pPr>
            <w:r>
              <w:rPr>
                <w:rFonts w:hint="eastAsia" w:cs="宋体"/>
                <w:bCs/>
                <w:sz w:val="24"/>
                <w:highlight w:val="none"/>
              </w:rPr>
              <w:t>废水：</w:t>
            </w:r>
            <w:r>
              <w:rPr>
                <w:rFonts w:hint="eastAsia"/>
                <w:sz w:val="24"/>
                <w:highlight w:val="none"/>
              </w:rPr>
              <w:t>项目无生产废水，外排废水为职工生活污水</w:t>
            </w:r>
            <w:r>
              <w:rPr>
                <w:rFonts w:hint="eastAsia" w:cs="宋体"/>
                <w:bCs/>
                <w:sz w:val="24"/>
                <w:highlight w:val="none"/>
              </w:rPr>
              <w:t>。</w:t>
            </w:r>
          </w:p>
          <w:p w14:paraId="7812B752">
            <w:pPr>
              <w:widowControl/>
              <w:spacing w:line="360" w:lineRule="auto"/>
              <w:ind w:firstLine="480" w:firstLineChars="200"/>
              <w:rPr>
                <w:rFonts w:cs="宋体"/>
                <w:bCs/>
                <w:sz w:val="24"/>
                <w:highlight w:val="none"/>
              </w:rPr>
            </w:pPr>
            <w:r>
              <w:rPr>
                <w:rFonts w:hint="eastAsia" w:cs="宋体"/>
                <w:bCs/>
                <w:sz w:val="24"/>
                <w:highlight w:val="none"/>
              </w:rPr>
              <w:t>废气：</w:t>
            </w:r>
            <w:r>
              <w:rPr>
                <w:rFonts w:hint="eastAsia" w:eastAsia="宋体" w:cs="宋体"/>
                <w:bCs/>
                <w:sz w:val="24"/>
                <w:highlight w:val="none"/>
                <w:lang w:val="en-US" w:eastAsia="zh-CN"/>
              </w:rPr>
              <w:t>项目露营垫及箱包为组装生产，不自行生产原料，无废气生产</w:t>
            </w:r>
            <w:r>
              <w:rPr>
                <w:rFonts w:hint="eastAsia"/>
                <w:sz w:val="24"/>
                <w:highlight w:val="none"/>
              </w:rPr>
              <w:t>。</w:t>
            </w:r>
          </w:p>
          <w:p w14:paraId="7A2641FF">
            <w:pPr>
              <w:widowControl/>
              <w:spacing w:line="360" w:lineRule="auto"/>
              <w:ind w:firstLine="480" w:firstLineChars="200"/>
              <w:rPr>
                <w:rFonts w:ascii="宋体" w:hAnsi="宋体"/>
                <w:bCs/>
                <w:sz w:val="24"/>
                <w:highlight w:val="none"/>
              </w:rPr>
            </w:pPr>
            <w:r>
              <w:rPr>
                <w:rFonts w:hint="eastAsia" w:ascii="宋体" w:hAnsi="宋体"/>
                <w:bCs/>
                <w:sz w:val="24"/>
                <w:highlight w:val="none"/>
              </w:rPr>
              <w:t>噪声：噪声主要为各生产设备的运行噪声。</w:t>
            </w:r>
          </w:p>
          <w:p w14:paraId="7C5D3E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eastAsia="宋体"/>
                <w:sz w:val="24"/>
                <w:szCs w:val="24"/>
                <w:highlight w:val="none"/>
                <w:lang w:val="en-US" w:eastAsia="zh-CN"/>
              </w:rPr>
            </w:pPr>
            <w:r>
              <w:rPr>
                <w:rFonts w:hint="eastAsia" w:ascii="宋体" w:hAnsi="宋体"/>
                <w:bCs/>
                <w:color w:val="000000" w:themeColor="text1"/>
                <w:sz w:val="24"/>
                <w:highlight w:val="none"/>
                <w14:textFill>
                  <w14:solidFill>
                    <w14:schemeClr w14:val="tx1"/>
                  </w14:solidFill>
                </w14:textFill>
              </w:rPr>
              <w:t>固废：</w:t>
            </w:r>
            <w:r>
              <w:rPr>
                <w:rFonts w:hint="eastAsia" w:ascii="宋体" w:hAnsi="宋体" w:eastAsia="宋体"/>
                <w:bCs/>
                <w:color w:val="000000" w:themeColor="text1"/>
                <w:sz w:val="24"/>
                <w:highlight w:val="none"/>
                <w:lang w:val="en-US" w:eastAsia="zh-CN"/>
                <w14:textFill>
                  <w14:solidFill>
                    <w14:schemeClr w14:val="tx1"/>
                  </w14:solidFill>
                </w14:textFill>
              </w:rPr>
              <w:t>主要为组装过程中产生的</w:t>
            </w:r>
            <w:r>
              <w:rPr>
                <w:rFonts w:hint="eastAsia" w:ascii="宋体" w:hAnsi="宋体"/>
                <w:bCs/>
                <w:color w:val="000000" w:themeColor="text1"/>
                <w:sz w:val="24"/>
                <w:highlight w:val="none"/>
                <w14:textFill>
                  <w14:solidFill>
                    <w14:schemeClr w14:val="tx1"/>
                  </w14:solidFill>
                </w14:textFill>
              </w:rPr>
              <w:t>塑料边角料、废次品。</w:t>
            </w:r>
          </w:p>
        </w:tc>
      </w:tr>
      <w:tr w14:paraId="349B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19" w:type="dxa"/>
            <w:tcBorders>
              <w:left w:val="single" w:color="000000" w:sz="6" w:space="0"/>
            </w:tcBorders>
            <w:vAlign w:val="top"/>
          </w:tcPr>
          <w:p w14:paraId="2D1E1A40">
            <w:pPr>
              <w:spacing w:before="24" w:line="231" w:lineRule="auto"/>
              <w:jc w:val="center"/>
              <w:rPr>
                <w:rFonts w:ascii="宋体" w:hAnsi="宋体" w:eastAsia="宋体" w:cs="宋体"/>
                <w:sz w:val="20"/>
                <w:szCs w:val="20"/>
                <w:highlight w:val="none"/>
              </w:rPr>
            </w:pPr>
            <w:r>
              <w:rPr>
                <w:rFonts w:hint="eastAsia" w:ascii="宋体" w:hAnsi="宋体" w:eastAsia="宋体" w:cs="宋体"/>
                <w:sz w:val="20"/>
                <w:szCs w:val="20"/>
                <w:highlight w:val="none"/>
              </w:rPr>
              <w:t>与项目有关的原有环境污染问题</w:t>
            </w:r>
          </w:p>
        </w:tc>
        <w:tc>
          <w:tcPr>
            <w:tcW w:w="8387" w:type="dxa"/>
            <w:tcBorders>
              <w:right w:val="single" w:color="000000" w:sz="6" w:space="0"/>
            </w:tcBorders>
            <w:vAlign w:val="center"/>
          </w:tcPr>
          <w:p w14:paraId="54EF054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Arial"/>
                <w:sz w:val="21"/>
                <w:highlight w:val="none"/>
              </w:rPr>
            </w:pPr>
            <w:r>
              <w:rPr>
                <w:rFonts w:hint="default"/>
                <w:color w:val="auto"/>
                <w:kern w:val="2"/>
                <w:sz w:val="24"/>
                <w:szCs w:val="24"/>
                <w:highlight w:val="none"/>
                <w:lang w:val="en-US" w:eastAsia="zh-CN"/>
              </w:rPr>
              <w:t>本项目为新建项目，不存在与项目有关的原有环境污染问题。</w:t>
            </w:r>
          </w:p>
        </w:tc>
      </w:tr>
    </w:tbl>
    <w:p w14:paraId="059283CB">
      <w:pPr>
        <w:rPr>
          <w:rFonts w:ascii="Arial"/>
          <w:sz w:val="21"/>
          <w:highlight w:val="none"/>
        </w:rPr>
      </w:pPr>
    </w:p>
    <w:p w14:paraId="5B3957D8">
      <w:pPr>
        <w:rPr>
          <w:highlight w:val="none"/>
        </w:rPr>
        <w:sectPr>
          <w:pgSz w:w="11906" w:h="16839"/>
          <w:pgMar w:top="1431" w:right="1451" w:bottom="955" w:left="1451" w:header="0" w:footer="692" w:gutter="0"/>
          <w:pgBorders>
            <w:top w:val="none" w:sz="0" w:space="0"/>
            <w:left w:val="none" w:sz="0" w:space="0"/>
            <w:bottom w:val="none" w:sz="0" w:space="0"/>
            <w:right w:val="none" w:sz="0" w:space="0"/>
          </w:pgBorders>
          <w:pgNumType w:fmt="decimal"/>
          <w:cols w:space="720" w:num="1"/>
        </w:sectPr>
      </w:pPr>
    </w:p>
    <w:p w14:paraId="532F76C9">
      <w:pPr>
        <w:spacing w:before="94" w:line="242" w:lineRule="auto"/>
        <w:ind w:left="1221"/>
        <w:outlineLvl w:val="0"/>
        <w:rPr>
          <w:rFonts w:ascii="黑体" w:hAnsi="黑体" w:eastAsia="黑体" w:cs="黑体"/>
          <w:sz w:val="29"/>
          <w:szCs w:val="29"/>
          <w:highlight w:val="none"/>
        </w:rPr>
      </w:pPr>
      <w:bookmarkStart w:id="7" w:name="_Toc22597"/>
      <w:r>
        <w:rPr>
          <w:rFonts w:ascii="黑体" w:hAnsi="黑体" w:eastAsia="黑体" w:cs="黑体"/>
          <w:spacing w:val="13"/>
          <w:sz w:val="29"/>
          <w:szCs w:val="29"/>
          <w:highlight w:val="none"/>
        </w:rPr>
        <w:t>三</w:t>
      </w:r>
      <w:r>
        <w:rPr>
          <w:rFonts w:ascii="黑体" w:hAnsi="黑体" w:eastAsia="黑体" w:cs="黑体"/>
          <w:spacing w:val="9"/>
          <w:sz w:val="29"/>
          <w:szCs w:val="29"/>
          <w:highlight w:val="none"/>
        </w:rPr>
        <w:t>、区域环境质量现状、环境保护目标及评价标准</w:t>
      </w:r>
      <w:bookmarkEnd w:id="7"/>
    </w:p>
    <w:p w14:paraId="34EDE89E">
      <w:pPr>
        <w:rPr>
          <w:highlight w:val="none"/>
        </w:rPr>
      </w:pPr>
    </w:p>
    <w:p w14:paraId="2BA708C5">
      <w:pPr>
        <w:spacing w:line="46" w:lineRule="auto"/>
        <w:rPr>
          <w:rFonts w:ascii="Arial"/>
          <w:sz w:val="2"/>
          <w:highlight w:val="none"/>
        </w:rPr>
      </w:pPr>
    </w:p>
    <w:tbl>
      <w:tblPr>
        <w:tblStyle w:val="21"/>
        <w:tblW w:w="8994"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8186"/>
      </w:tblGrid>
      <w:tr w14:paraId="51803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5" w:hRule="atLeast"/>
        </w:trPr>
        <w:tc>
          <w:tcPr>
            <w:tcW w:w="808" w:type="dxa"/>
            <w:tcBorders>
              <w:left w:val="single" w:color="000000" w:sz="6" w:space="0"/>
            </w:tcBorders>
            <w:vAlign w:val="center"/>
          </w:tcPr>
          <w:p w14:paraId="093E5C34">
            <w:pPr>
              <w:spacing w:before="65" w:line="274" w:lineRule="exact"/>
              <w:ind w:left="209"/>
              <w:rPr>
                <w:rFonts w:ascii="宋体" w:hAnsi="宋体" w:eastAsia="宋体" w:cs="宋体"/>
                <w:sz w:val="20"/>
                <w:szCs w:val="20"/>
                <w:highlight w:val="none"/>
              </w:rPr>
            </w:pPr>
            <w:r>
              <w:rPr>
                <w:rFonts w:ascii="宋体" w:hAnsi="宋体" w:eastAsia="宋体" w:cs="宋体"/>
                <w:spacing w:val="-3"/>
                <w:position w:val="4"/>
                <w:sz w:val="20"/>
                <w:szCs w:val="20"/>
                <w:highlight w:val="none"/>
              </w:rPr>
              <w:t>区域</w:t>
            </w:r>
            <w:r>
              <w:rPr>
                <w:rFonts w:ascii="宋体" w:hAnsi="宋体" w:eastAsia="宋体" w:cs="宋体"/>
                <w:spacing w:val="5"/>
                <w:sz w:val="20"/>
                <w:szCs w:val="20"/>
                <w:highlight w:val="none"/>
              </w:rPr>
              <w:t>环</w:t>
            </w:r>
            <w:r>
              <w:rPr>
                <w:rFonts w:ascii="宋体" w:hAnsi="宋体" w:eastAsia="宋体" w:cs="宋体"/>
                <w:spacing w:val="4"/>
                <w:sz w:val="20"/>
                <w:szCs w:val="20"/>
                <w:highlight w:val="none"/>
              </w:rPr>
              <w:t>境质量现</w:t>
            </w:r>
            <w:r>
              <w:rPr>
                <w:rFonts w:ascii="宋体" w:hAnsi="宋体" w:eastAsia="宋体" w:cs="宋体"/>
                <w:spacing w:val="3"/>
                <w:sz w:val="20"/>
                <w:szCs w:val="20"/>
                <w:highlight w:val="none"/>
              </w:rPr>
              <w:t>状</w:t>
            </w:r>
          </w:p>
        </w:tc>
        <w:tc>
          <w:tcPr>
            <w:tcW w:w="8186" w:type="dxa"/>
            <w:tcBorders>
              <w:right w:val="single" w:color="000000" w:sz="6" w:space="0"/>
            </w:tcBorders>
            <w:vAlign w:val="top"/>
          </w:tcPr>
          <w:p w14:paraId="22EEEDCD">
            <w:pPr>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3.1 水环境</w:t>
            </w:r>
          </w:p>
          <w:p w14:paraId="023B9E06">
            <w:pP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3.1.1 水环境质量标准</w:t>
            </w:r>
          </w:p>
          <w:p w14:paraId="1B69124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sz w:val="24"/>
                <w:szCs w:val="24"/>
                <w:highlight w:val="none"/>
                <w:lang w:val="en-US" w:eastAsia="zh-CN"/>
              </w:rPr>
              <w:t>根据现场调查，项目建设区域地表水系为桃溪，位于项目厂区</w:t>
            </w:r>
            <w:r>
              <w:rPr>
                <w:rFonts w:hint="eastAsia" w:ascii="Times New Roman" w:hAnsi="Times New Roman" w:eastAsia="宋体" w:cs="Times New Roman"/>
                <w:sz w:val="24"/>
                <w:szCs w:val="24"/>
                <w:highlight w:val="none"/>
                <w:lang w:val="en-US" w:eastAsia="zh-CN"/>
              </w:rPr>
              <w:t>南</w:t>
            </w:r>
            <w:r>
              <w:rPr>
                <w:rFonts w:hint="default" w:ascii="Times New Roman" w:hAnsi="Times New Roman" w:eastAsia="宋体" w:cs="Times New Roman"/>
                <w:sz w:val="24"/>
                <w:szCs w:val="24"/>
                <w:highlight w:val="none"/>
                <w:lang w:val="en-US" w:eastAsia="zh-CN"/>
              </w:rPr>
              <w:t>侧</w:t>
            </w:r>
            <w:r>
              <w:rPr>
                <w:rFonts w:hint="eastAsia" w:ascii="Times New Roman" w:hAnsi="Times New Roman" w:eastAsia="宋体" w:cs="Times New Roman"/>
                <w:sz w:val="24"/>
                <w:szCs w:val="24"/>
                <w:highlight w:val="none"/>
                <w:lang w:val="en-US" w:eastAsia="zh-CN"/>
              </w:rPr>
              <w:t>68</w:t>
            </w:r>
            <w:r>
              <w:rPr>
                <w:rFonts w:hint="default" w:ascii="Times New Roman" w:hAnsi="Times New Roman" w:eastAsia="宋体" w:cs="Times New Roman"/>
                <w:sz w:val="24"/>
                <w:szCs w:val="24"/>
                <w:highlight w:val="none"/>
                <w:lang w:val="en-US" w:eastAsia="zh-CN"/>
              </w:rPr>
              <w:t>0m；根据《泉州市地表水环境功能区类别划分方案修编及编制说明》（泉州市人民政府2004年3月），桃溪主要功能为一般工业用水、一般景观要求水域，环境功能类别为Ⅲ类功能区，执行《地表水环境质量标准》</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GB 3838-2002</w:t>
            </w:r>
            <w:r>
              <w:rPr>
                <w:rFonts w:hint="default" w:ascii="Times New Roman" w:hAnsi="Times New Roman" w:eastAsia="宋体" w:cs="Times New Roman"/>
                <w:color w:val="auto"/>
                <w:sz w:val="24"/>
                <w:szCs w:val="24"/>
                <w:highlight w:val="none"/>
                <w:lang w:val="en-US" w:eastAsia="zh-CN"/>
              </w:rPr>
              <w:t>）Ⅲ类标准。</w:t>
            </w:r>
          </w:p>
          <w:p w14:paraId="5EC2D0FB">
            <w:pPr>
              <w:spacing w:line="360" w:lineRule="auto"/>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表3</w:t>
            </w:r>
            <w:r>
              <w:rPr>
                <w:rFonts w:hint="eastAsia" w:ascii="Times New Roman" w:hAnsi="Times New Roman" w:eastAsia="宋体" w:cs="Times New Roman"/>
                <w:b/>
                <w:bCs/>
                <w:color w:val="000000"/>
                <w:sz w:val="24"/>
                <w:highlight w:val="none"/>
                <w:lang w:val="en-US" w:eastAsia="zh-CN"/>
              </w:rPr>
              <w:t>.1-</w:t>
            </w:r>
            <w:r>
              <w:rPr>
                <w:rFonts w:hint="default" w:ascii="Times New Roman" w:hAnsi="Times New Roman" w:cs="Times New Roman"/>
                <w:b/>
                <w:bCs/>
                <w:color w:val="000000"/>
                <w:sz w:val="24"/>
                <w:highlight w:val="none"/>
              </w:rPr>
              <w:t>1</w:t>
            </w:r>
            <w:r>
              <w:rPr>
                <w:rFonts w:hint="eastAsia" w:ascii="Times New Roman" w:hAnsi="Times New Roman" w:eastAsia="宋体" w:cs="Times New Roman"/>
                <w:b/>
                <w:bCs/>
                <w:color w:val="000000"/>
                <w:sz w:val="24"/>
                <w:highlight w:val="none"/>
                <w:lang w:val="en-US" w:eastAsia="zh-CN"/>
              </w:rPr>
              <w:t xml:space="preserve"> </w:t>
            </w:r>
            <w:r>
              <w:rPr>
                <w:rFonts w:hint="default" w:ascii="Times New Roman" w:hAnsi="Times New Roman" w:cs="Times New Roman"/>
                <w:b/>
                <w:bCs/>
                <w:color w:val="000000"/>
                <w:sz w:val="24"/>
                <w:highlight w:val="none"/>
              </w:rPr>
              <w:t>《地表水环境质量标准》</w:t>
            </w:r>
            <w:r>
              <w:rPr>
                <w:rFonts w:hint="eastAsia" w:ascii="Times New Roman" w:hAnsi="Times New Roman" w:eastAsia="宋体" w:cs="Times New Roman"/>
                <w:b/>
                <w:bCs/>
                <w:color w:val="000000"/>
                <w:sz w:val="24"/>
                <w:highlight w:val="none"/>
                <w:lang w:eastAsia="zh-CN"/>
              </w:rPr>
              <w:t>（GB 3838-2002）</w:t>
            </w:r>
            <w:r>
              <w:rPr>
                <w:rFonts w:hint="default" w:ascii="Times New Roman" w:hAnsi="Times New Roman" w:cs="Times New Roman"/>
                <w:b/>
                <w:bCs/>
                <w:color w:val="000000"/>
                <w:sz w:val="24"/>
                <w:highlight w:val="none"/>
              </w:rPr>
              <w:t>（摘录） 单位：mg/L</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2080"/>
              <w:gridCol w:w="3188"/>
            </w:tblGrid>
            <w:tr w14:paraId="5A19DE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49" w:type="pct"/>
                  <w:gridSpan w:val="2"/>
                  <w:noWrap w:val="0"/>
                  <w:vAlign w:val="center"/>
                </w:tcPr>
                <w:p w14:paraId="57BFD477">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w:t>
                  </w:r>
                </w:p>
              </w:tc>
              <w:tc>
                <w:tcPr>
                  <w:tcW w:w="1950" w:type="pct"/>
                  <w:noWrap w:val="0"/>
                  <w:vAlign w:val="center"/>
                </w:tcPr>
                <w:p w14:paraId="20C91AEE">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Ⅲ类</w:t>
                  </w:r>
                </w:p>
              </w:tc>
            </w:tr>
            <w:tr w14:paraId="08C0E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7" w:type="pct"/>
                  <w:noWrap w:val="0"/>
                  <w:vAlign w:val="center"/>
                </w:tcPr>
                <w:p w14:paraId="3268F5D5">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pH（无量纲）</w:t>
                  </w:r>
                </w:p>
              </w:tc>
              <w:tc>
                <w:tcPr>
                  <w:tcW w:w="1272" w:type="pct"/>
                  <w:noWrap w:val="0"/>
                  <w:vAlign w:val="center"/>
                </w:tcPr>
                <w:p w14:paraId="524A3393">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950" w:type="pct"/>
                  <w:noWrap w:val="0"/>
                  <w:vAlign w:val="center"/>
                </w:tcPr>
                <w:p w14:paraId="03DE5BF5">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6-9</w:t>
                  </w:r>
                </w:p>
              </w:tc>
            </w:tr>
            <w:tr w14:paraId="4E6B2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7" w:type="pct"/>
                  <w:noWrap w:val="0"/>
                  <w:vAlign w:val="center"/>
                </w:tcPr>
                <w:p w14:paraId="33CECA3E">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化学需氧量</w:t>
                  </w:r>
                </w:p>
              </w:tc>
              <w:tc>
                <w:tcPr>
                  <w:tcW w:w="1272" w:type="pct"/>
                  <w:noWrap w:val="0"/>
                  <w:vAlign w:val="center"/>
                </w:tcPr>
                <w:p w14:paraId="0D666F75">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pct"/>
                  <w:noWrap w:val="0"/>
                  <w:vAlign w:val="center"/>
                </w:tcPr>
                <w:p w14:paraId="05522313">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20</w:t>
                  </w:r>
                </w:p>
              </w:tc>
            </w:tr>
            <w:tr w14:paraId="55E7A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7" w:type="pct"/>
                  <w:noWrap w:val="0"/>
                  <w:vAlign w:val="center"/>
                </w:tcPr>
                <w:p w14:paraId="41E14926">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溶解氧</w:t>
                  </w:r>
                </w:p>
              </w:tc>
              <w:tc>
                <w:tcPr>
                  <w:tcW w:w="1272" w:type="pct"/>
                  <w:noWrap w:val="0"/>
                  <w:vAlign w:val="center"/>
                </w:tcPr>
                <w:p w14:paraId="5BD4DD64">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pct"/>
                  <w:noWrap w:val="0"/>
                  <w:vAlign w:val="center"/>
                </w:tcPr>
                <w:p w14:paraId="05071C67">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w:t>
                  </w:r>
                </w:p>
              </w:tc>
            </w:tr>
            <w:tr w14:paraId="3621C5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7" w:type="pct"/>
                  <w:noWrap w:val="0"/>
                  <w:vAlign w:val="center"/>
                </w:tcPr>
                <w:p w14:paraId="639E16E1">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BOD</w:t>
                  </w:r>
                  <w:r>
                    <w:rPr>
                      <w:rFonts w:hint="default" w:ascii="Times New Roman" w:hAnsi="Times New Roman" w:cs="Times New Roman"/>
                      <w:szCs w:val="21"/>
                      <w:highlight w:val="none"/>
                      <w:vertAlign w:val="subscript"/>
                    </w:rPr>
                    <w:t>5</w:t>
                  </w:r>
                </w:p>
              </w:tc>
              <w:tc>
                <w:tcPr>
                  <w:tcW w:w="1272" w:type="pct"/>
                  <w:noWrap w:val="0"/>
                  <w:vAlign w:val="center"/>
                </w:tcPr>
                <w:p w14:paraId="64C3A050">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pct"/>
                  <w:noWrap w:val="0"/>
                  <w:vAlign w:val="center"/>
                </w:tcPr>
                <w:p w14:paraId="24061A27">
                  <w:pPr>
                    <w:pStyle w:val="10"/>
                    <w:spacing w:line="24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r>
            <w:tr w14:paraId="5FC9E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7" w:type="pct"/>
                  <w:noWrap w:val="0"/>
                  <w:vAlign w:val="center"/>
                </w:tcPr>
                <w:p w14:paraId="688A59C5">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-N</w:t>
                  </w:r>
                </w:p>
              </w:tc>
              <w:tc>
                <w:tcPr>
                  <w:tcW w:w="1272" w:type="pct"/>
                  <w:noWrap w:val="0"/>
                  <w:vAlign w:val="center"/>
                </w:tcPr>
                <w:p w14:paraId="7DEB75AD">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c>
                <w:tcPr>
                  <w:tcW w:w="1950" w:type="pct"/>
                  <w:noWrap w:val="0"/>
                  <w:vAlign w:val="center"/>
                </w:tcPr>
                <w:p w14:paraId="3874DD14">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r>
          </w:tbl>
          <w:p w14:paraId="294FDA0F">
            <w:pPr>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3.1.2 水环境质量现状</w:t>
            </w:r>
          </w:p>
          <w:p w14:paraId="04B1C4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根据泉州市永春生态环境局发布的《永春县生态环境状况公报（202</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年度）》，202</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年，永春县水环境质量总体保持良好。永春县桃溪、湖洋溪、一都溪、坑仔口溪、诗溪（永春段）等5条主要流域出境水水质达标率100%，永春东关桥、永春（大溪桥）、云贵3个国控及仙荣大桥、下洋、潮兜村上游、龙山村、长岸桥5个省控考核监测断面的功能区水质达标率100%。从以上数据可以看出，</w:t>
            </w:r>
            <w:r>
              <w:rPr>
                <w:rFonts w:hint="eastAsia" w:ascii="Times New Roman" w:hAnsi="Times New Roman" w:eastAsia="宋体" w:cs="Times New Roman"/>
                <w:sz w:val="24"/>
                <w:szCs w:val="24"/>
                <w:highlight w:val="none"/>
                <w:lang w:val="en-US" w:eastAsia="zh-CN"/>
              </w:rPr>
              <w:t>项目附近水系</w:t>
            </w:r>
            <w:r>
              <w:rPr>
                <w:rFonts w:hint="default" w:ascii="Times New Roman" w:hAnsi="Times New Roman" w:eastAsia="宋体" w:cs="Times New Roman"/>
                <w:sz w:val="24"/>
                <w:szCs w:val="24"/>
                <w:highlight w:val="none"/>
                <w:lang w:val="en-US" w:eastAsia="zh-CN"/>
              </w:rPr>
              <w:t>桃溪水质符合《地表水环境质量标准》（</w:t>
            </w:r>
            <w:r>
              <w:rPr>
                <w:rFonts w:hint="eastAsia" w:ascii="Times New Roman" w:hAnsi="Times New Roman" w:eastAsia="宋体" w:cs="Times New Roman"/>
                <w:sz w:val="24"/>
                <w:szCs w:val="24"/>
                <w:highlight w:val="none"/>
                <w:lang w:val="en-US" w:eastAsia="zh-CN"/>
              </w:rPr>
              <w:t>GB 3838-2002</w:t>
            </w:r>
            <w:r>
              <w:rPr>
                <w:rFonts w:hint="default" w:ascii="Times New Roman" w:hAnsi="Times New Roman" w:eastAsia="宋体" w:cs="Times New Roman"/>
                <w:sz w:val="24"/>
                <w:szCs w:val="24"/>
                <w:highlight w:val="none"/>
                <w:lang w:val="en-US" w:eastAsia="zh-CN"/>
              </w:rPr>
              <w:t>）Ⅲ类标准，说明项目所在地目前水质质量现状良好。</w:t>
            </w:r>
          </w:p>
          <w:p w14:paraId="356EA0E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3.2 大气环境</w:t>
            </w:r>
          </w:p>
          <w:p w14:paraId="68C8AC2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3.2.1 大气环境质量标准</w:t>
            </w:r>
          </w:p>
          <w:p w14:paraId="1950770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（1）基本污染物：根据《环境空气质量标准》</w:t>
            </w:r>
            <w:r>
              <w:rPr>
                <w:rFonts w:hint="eastAsia" w:ascii="Times New Roman" w:hAnsi="Times New Roman" w:eastAsia="宋体" w:cs="Times New Roman"/>
                <w:sz w:val="24"/>
                <w:szCs w:val="24"/>
                <w:highlight w:val="none"/>
                <w:lang w:val="en-US" w:eastAsia="zh-CN"/>
              </w:rPr>
              <w:t>（GB 3095-2012）</w:t>
            </w:r>
            <w:r>
              <w:rPr>
                <w:rFonts w:hint="default" w:ascii="Times New Roman" w:hAnsi="Times New Roman" w:eastAsia="宋体" w:cs="Times New Roman"/>
                <w:sz w:val="24"/>
                <w:szCs w:val="24"/>
                <w:highlight w:val="none"/>
                <w:lang w:val="en-US" w:eastAsia="zh-CN"/>
              </w:rPr>
              <w:t>及其修改单中有关环境空气功能区分类的规定：城镇规划中确定的居民区、商业交通居民混合区、文化区、工业区和农村地区划定为二类区。项目所在区域属于</w:t>
            </w:r>
            <w:r>
              <w:rPr>
                <w:rFonts w:hint="eastAsia" w:ascii="Times New Roman" w:hAnsi="Times New Roman" w:eastAsia="宋体" w:cs="Times New Roman"/>
                <w:sz w:val="24"/>
                <w:szCs w:val="24"/>
                <w:highlight w:val="none"/>
                <w:lang w:val="en-US" w:eastAsia="zh-CN"/>
              </w:rPr>
              <w:t>工业区，即为</w:t>
            </w:r>
            <w:r>
              <w:rPr>
                <w:rFonts w:hint="default" w:ascii="Times New Roman" w:hAnsi="Times New Roman" w:eastAsia="宋体" w:cs="Times New Roman"/>
                <w:sz w:val="24"/>
                <w:szCs w:val="24"/>
                <w:highlight w:val="none"/>
                <w:lang w:val="en-US" w:eastAsia="zh-CN"/>
              </w:rPr>
              <w:t>规定的二类区。因此环境空气SO</w:t>
            </w:r>
            <w:r>
              <w:rPr>
                <w:rFonts w:hint="default" w:ascii="Times New Roman" w:hAnsi="Times New Roman" w:eastAsia="宋体" w:cs="Times New Roman"/>
                <w:sz w:val="24"/>
                <w:szCs w:val="24"/>
                <w:highlight w:val="none"/>
                <w:vertAlign w:val="subscript"/>
                <w:lang w:val="en-US" w:eastAsia="zh-CN"/>
              </w:rPr>
              <w:t>2</w:t>
            </w:r>
            <w:r>
              <w:rPr>
                <w:rFonts w:hint="default" w:ascii="Times New Roman" w:hAnsi="Times New Roman" w:eastAsia="宋体" w:cs="Times New Roman"/>
                <w:sz w:val="24"/>
                <w:szCs w:val="24"/>
                <w:highlight w:val="none"/>
                <w:lang w:val="en-US" w:eastAsia="zh-CN"/>
              </w:rPr>
              <w:t>、NO</w:t>
            </w:r>
            <w:r>
              <w:rPr>
                <w:rFonts w:hint="default" w:ascii="Times New Roman" w:hAnsi="Times New Roman" w:eastAsia="宋体" w:cs="Times New Roman"/>
                <w:sz w:val="24"/>
                <w:szCs w:val="24"/>
                <w:highlight w:val="none"/>
                <w:vertAlign w:val="subscript"/>
                <w:lang w:val="en-US" w:eastAsia="zh-CN"/>
              </w:rPr>
              <w:t>2</w:t>
            </w:r>
            <w:r>
              <w:rPr>
                <w:rFonts w:hint="default" w:ascii="Times New Roman" w:hAnsi="Times New Roman" w:eastAsia="宋体" w:cs="Times New Roman"/>
                <w:sz w:val="24"/>
                <w:szCs w:val="24"/>
                <w:highlight w:val="none"/>
                <w:lang w:val="en-US" w:eastAsia="zh-CN"/>
              </w:rPr>
              <w:t>、PM</w:t>
            </w:r>
            <w:r>
              <w:rPr>
                <w:rFonts w:hint="default" w:ascii="Times New Roman" w:hAnsi="Times New Roman" w:eastAsia="宋体" w:cs="Times New Roman"/>
                <w:sz w:val="24"/>
                <w:szCs w:val="24"/>
                <w:highlight w:val="none"/>
                <w:vertAlign w:val="subscript"/>
                <w:lang w:val="en-US" w:eastAsia="zh-CN"/>
              </w:rPr>
              <w:t>10</w:t>
            </w:r>
            <w:r>
              <w:rPr>
                <w:rFonts w:hint="default" w:ascii="Times New Roman" w:hAnsi="Times New Roman" w:eastAsia="宋体" w:cs="Times New Roman"/>
                <w:sz w:val="24"/>
                <w:szCs w:val="24"/>
                <w:highlight w:val="none"/>
                <w:lang w:val="en-US" w:eastAsia="zh-CN"/>
              </w:rPr>
              <w:t>、PM</w:t>
            </w:r>
            <w:r>
              <w:rPr>
                <w:rFonts w:hint="default" w:ascii="Times New Roman" w:hAnsi="Times New Roman" w:eastAsia="宋体" w:cs="Times New Roman"/>
                <w:sz w:val="24"/>
                <w:szCs w:val="24"/>
                <w:highlight w:val="none"/>
                <w:vertAlign w:val="subscript"/>
                <w:lang w:val="en-US" w:eastAsia="zh-CN"/>
              </w:rPr>
              <w:t>2.5</w:t>
            </w:r>
            <w:r>
              <w:rPr>
                <w:rFonts w:hint="default" w:ascii="Times New Roman" w:hAnsi="Times New Roman" w:eastAsia="宋体" w:cs="Times New Roman"/>
                <w:sz w:val="24"/>
                <w:szCs w:val="24"/>
                <w:highlight w:val="none"/>
                <w:lang w:val="en-US" w:eastAsia="zh-CN"/>
              </w:rPr>
              <w:t>、CO、O</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执行《环境空气质量标准》（</w:t>
            </w:r>
            <w:r>
              <w:rPr>
                <w:rFonts w:hint="eastAsia" w:ascii="Times New Roman" w:hAnsi="Times New Roman" w:eastAsia="宋体" w:cs="Times New Roman"/>
                <w:sz w:val="24"/>
                <w:szCs w:val="24"/>
                <w:highlight w:val="none"/>
                <w:lang w:val="en-US" w:eastAsia="zh-CN"/>
              </w:rPr>
              <w:t>GB 3095-2012</w:t>
            </w:r>
            <w:r>
              <w:rPr>
                <w:rFonts w:hint="default" w:ascii="Times New Roman" w:hAnsi="Times New Roman" w:eastAsia="宋体" w:cs="Times New Roman"/>
                <w:sz w:val="24"/>
                <w:szCs w:val="24"/>
                <w:highlight w:val="none"/>
                <w:lang w:val="en-US" w:eastAsia="zh-CN"/>
              </w:rPr>
              <w:t>）及其修改单中的二级标准</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详见表3</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w:t>
            </w:r>
          </w:p>
          <w:p w14:paraId="773312F7">
            <w:pPr>
              <w:spacing w:line="360" w:lineRule="auto"/>
              <w:ind w:firstLine="480" w:firstLineChars="20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表3</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w:t>
            </w:r>
            <w:r>
              <w:rPr>
                <w:rFonts w:hint="eastAsia" w:ascii="Times New Roman" w:hAnsi="Times New Roman" w:eastAsia="宋体" w:cs="Times New Roman"/>
                <w:b/>
                <w:bCs/>
                <w:color w:val="000000"/>
                <w:sz w:val="24"/>
                <w:highlight w:val="none"/>
                <w:lang w:val="en-US" w:eastAsia="zh-CN"/>
              </w:rPr>
              <w:t>1</w:t>
            </w:r>
            <w:r>
              <w:rPr>
                <w:rFonts w:hint="default" w:ascii="Times New Roman" w:hAnsi="Times New Roman" w:cs="Times New Roman"/>
                <w:b/>
                <w:bCs/>
                <w:color w:val="000000"/>
                <w:sz w:val="24"/>
                <w:highlight w:val="none"/>
              </w:rPr>
              <w:t xml:space="preserve"> 《环境空气质量标准》（</w:t>
            </w:r>
            <w:r>
              <w:rPr>
                <w:rFonts w:hint="eastAsia" w:ascii="Times New Roman" w:hAnsi="Times New Roman" w:eastAsia="宋体" w:cs="Times New Roman"/>
                <w:b/>
                <w:bCs/>
                <w:color w:val="auto"/>
                <w:sz w:val="24"/>
                <w:highlight w:val="none"/>
                <w:lang w:eastAsia="zh-CN"/>
              </w:rPr>
              <w:t>GB 3095-2012</w:t>
            </w:r>
            <w:r>
              <w:rPr>
                <w:rFonts w:hint="default" w:ascii="Times New Roman" w:hAnsi="Times New Roman" w:cs="Times New Roman"/>
                <w:b/>
                <w:bCs/>
                <w:color w:val="auto"/>
                <w:sz w:val="24"/>
                <w:highlight w:val="none"/>
              </w:rPr>
              <w:t>）表1（摘</w:t>
            </w:r>
            <w:r>
              <w:rPr>
                <w:rFonts w:hint="default" w:ascii="Times New Roman" w:hAnsi="Times New Roman" w:cs="Times New Roman"/>
                <w:b/>
                <w:bCs/>
                <w:color w:val="000000"/>
                <w:sz w:val="24"/>
                <w:highlight w:val="none"/>
              </w:rPr>
              <w:t>录）</w:t>
            </w:r>
          </w:p>
          <w:tbl>
            <w:tblPr>
              <w:tblStyle w:val="17"/>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58"/>
              <w:gridCol w:w="3199"/>
              <w:gridCol w:w="2105"/>
              <w:gridCol w:w="2281"/>
            </w:tblGrid>
            <w:tr w14:paraId="13DA05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tblHeader/>
                <w:jc w:val="center"/>
              </w:trPr>
              <w:tc>
                <w:tcPr>
                  <w:tcW w:w="558" w:type="dxa"/>
                  <w:noWrap w:val="0"/>
                  <w:vAlign w:val="center"/>
                </w:tcPr>
                <w:p w14:paraId="7C239F80">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序号</w:t>
                  </w:r>
                </w:p>
              </w:tc>
              <w:tc>
                <w:tcPr>
                  <w:tcW w:w="3199" w:type="dxa"/>
                  <w:noWrap w:val="0"/>
                  <w:vAlign w:val="center"/>
                </w:tcPr>
                <w:p w14:paraId="0D5A09CE">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污染物名称</w:t>
                  </w:r>
                </w:p>
              </w:tc>
              <w:tc>
                <w:tcPr>
                  <w:tcW w:w="2105" w:type="dxa"/>
                  <w:noWrap w:val="0"/>
                  <w:vAlign w:val="center"/>
                </w:tcPr>
                <w:p w14:paraId="5B8F547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取值时间</w:t>
                  </w:r>
                </w:p>
              </w:tc>
              <w:tc>
                <w:tcPr>
                  <w:tcW w:w="2281" w:type="dxa"/>
                  <w:noWrap w:val="0"/>
                  <w:vAlign w:val="center"/>
                </w:tcPr>
                <w:p w14:paraId="6A161954">
                  <w:pPr>
                    <w:spacing w:line="340" w:lineRule="exact"/>
                    <w:jc w:val="center"/>
                    <w:rPr>
                      <w:rFonts w:hint="eastAsia"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rPr>
                    <w:t>浓度限值</w:t>
                  </w:r>
                  <w:r>
                    <w:rPr>
                      <w:rFonts w:hint="eastAsia" w:ascii="Times New Roman" w:hAnsi="Times New Roman" w:eastAsia="宋体" w:cs="Times New Roman"/>
                      <w:color w:val="000000"/>
                      <w:szCs w:val="21"/>
                      <w:highlight w:val="none"/>
                      <w:lang w:eastAsia="zh-CN"/>
                    </w:rPr>
                    <w:t>（</w:t>
                  </w:r>
                  <w:r>
                    <w:rPr>
                      <w:rFonts w:hint="default" w:ascii="Times New Roman" w:hAnsi="Times New Roman" w:cs="Times New Roman"/>
                      <w:color w:val="000000"/>
                      <w:szCs w:val="21"/>
                      <w:highlight w:val="none"/>
                    </w:rPr>
                    <w:t>μg/m</w:t>
                  </w:r>
                  <w:r>
                    <w:rPr>
                      <w:rFonts w:hint="default" w:ascii="Times New Roman" w:hAnsi="Times New Roman" w:cs="Times New Roman"/>
                      <w:color w:val="000000"/>
                      <w:szCs w:val="21"/>
                      <w:highlight w:val="none"/>
                      <w:vertAlign w:val="superscript"/>
                    </w:rPr>
                    <w:t>3</w:t>
                  </w:r>
                  <w:r>
                    <w:rPr>
                      <w:rFonts w:hint="eastAsia" w:ascii="Times New Roman" w:hAnsi="Times New Roman" w:eastAsia="宋体" w:cs="Times New Roman"/>
                      <w:color w:val="000000"/>
                      <w:szCs w:val="21"/>
                      <w:highlight w:val="none"/>
                      <w:lang w:eastAsia="zh-CN"/>
                    </w:rPr>
                    <w:t>）</w:t>
                  </w:r>
                </w:p>
              </w:tc>
            </w:tr>
            <w:tr w14:paraId="3E0BB9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558" w:type="dxa"/>
                  <w:vMerge w:val="restart"/>
                  <w:noWrap w:val="0"/>
                  <w:vAlign w:val="center"/>
                </w:tcPr>
                <w:p w14:paraId="14A679DA">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w:t>
                  </w:r>
                </w:p>
              </w:tc>
              <w:tc>
                <w:tcPr>
                  <w:tcW w:w="3199" w:type="dxa"/>
                  <w:vMerge w:val="restart"/>
                  <w:noWrap w:val="0"/>
                  <w:vAlign w:val="center"/>
                </w:tcPr>
                <w:p w14:paraId="1400CD27">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二氧化硫（SO</w:t>
                  </w:r>
                  <w:r>
                    <w:rPr>
                      <w:rFonts w:hint="default" w:ascii="Times New Roman" w:hAnsi="Times New Roman" w:cs="Times New Roman"/>
                      <w:color w:val="000000"/>
                      <w:szCs w:val="21"/>
                      <w:highlight w:val="none"/>
                      <w:vertAlign w:val="subscript"/>
                    </w:rPr>
                    <w:t>2</w:t>
                  </w:r>
                  <w:r>
                    <w:rPr>
                      <w:rFonts w:hint="default" w:ascii="Times New Roman" w:hAnsi="Times New Roman" w:cs="Times New Roman"/>
                      <w:color w:val="000000"/>
                      <w:szCs w:val="21"/>
                      <w:highlight w:val="none"/>
                    </w:rPr>
                    <w:t>）</w:t>
                  </w:r>
                </w:p>
              </w:tc>
              <w:tc>
                <w:tcPr>
                  <w:tcW w:w="2105" w:type="dxa"/>
                  <w:noWrap w:val="0"/>
                  <w:vAlign w:val="center"/>
                </w:tcPr>
                <w:p w14:paraId="0A13E703">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w:t>
                  </w:r>
                </w:p>
              </w:tc>
              <w:tc>
                <w:tcPr>
                  <w:tcW w:w="2281" w:type="dxa"/>
                  <w:noWrap w:val="0"/>
                  <w:vAlign w:val="center"/>
                </w:tcPr>
                <w:p w14:paraId="5712DC51">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60</w:t>
                  </w:r>
                </w:p>
              </w:tc>
            </w:tr>
            <w:tr w14:paraId="49DA0FA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7" w:hRule="atLeast"/>
                <w:jc w:val="center"/>
              </w:trPr>
              <w:tc>
                <w:tcPr>
                  <w:tcW w:w="558" w:type="dxa"/>
                  <w:vMerge w:val="continue"/>
                  <w:noWrap w:val="0"/>
                  <w:vAlign w:val="center"/>
                </w:tcPr>
                <w:p w14:paraId="36D73B01">
                  <w:pPr>
                    <w:widowControl/>
                    <w:spacing w:line="340" w:lineRule="exact"/>
                    <w:ind w:firstLine="420"/>
                    <w:jc w:val="center"/>
                    <w:rPr>
                      <w:rFonts w:hint="default" w:ascii="Times New Roman" w:hAnsi="Times New Roman" w:cs="Times New Roman"/>
                      <w:color w:val="000000"/>
                      <w:szCs w:val="21"/>
                      <w:highlight w:val="none"/>
                    </w:rPr>
                  </w:pPr>
                </w:p>
              </w:tc>
              <w:tc>
                <w:tcPr>
                  <w:tcW w:w="3199" w:type="dxa"/>
                  <w:vMerge w:val="continue"/>
                  <w:noWrap w:val="0"/>
                  <w:vAlign w:val="center"/>
                </w:tcPr>
                <w:p w14:paraId="47204294">
                  <w:pPr>
                    <w:widowControl/>
                    <w:spacing w:line="340" w:lineRule="exact"/>
                    <w:ind w:firstLine="420"/>
                    <w:jc w:val="center"/>
                    <w:rPr>
                      <w:rFonts w:hint="default" w:ascii="Times New Roman" w:hAnsi="Times New Roman" w:cs="Times New Roman"/>
                      <w:color w:val="000000"/>
                      <w:szCs w:val="21"/>
                      <w:highlight w:val="none"/>
                    </w:rPr>
                  </w:pPr>
                </w:p>
              </w:tc>
              <w:tc>
                <w:tcPr>
                  <w:tcW w:w="2105" w:type="dxa"/>
                  <w:noWrap w:val="0"/>
                  <w:vAlign w:val="center"/>
                </w:tcPr>
                <w:p w14:paraId="5DDA073B">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w:t>
                  </w:r>
                </w:p>
              </w:tc>
              <w:tc>
                <w:tcPr>
                  <w:tcW w:w="2281" w:type="dxa"/>
                  <w:noWrap w:val="0"/>
                  <w:vAlign w:val="center"/>
                </w:tcPr>
                <w:p w14:paraId="03491567">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150</w:t>
                  </w:r>
                </w:p>
              </w:tc>
            </w:tr>
            <w:tr w14:paraId="2CA7EB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12" w:hRule="atLeast"/>
                <w:jc w:val="center"/>
              </w:trPr>
              <w:tc>
                <w:tcPr>
                  <w:tcW w:w="558" w:type="dxa"/>
                  <w:vMerge w:val="continue"/>
                  <w:noWrap w:val="0"/>
                  <w:vAlign w:val="center"/>
                </w:tcPr>
                <w:p w14:paraId="51ACBA5D">
                  <w:pPr>
                    <w:widowControl/>
                    <w:spacing w:line="340" w:lineRule="exact"/>
                    <w:ind w:firstLine="420"/>
                    <w:jc w:val="center"/>
                    <w:rPr>
                      <w:rFonts w:hint="default" w:ascii="Times New Roman" w:hAnsi="Times New Roman" w:cs="Times New Roman"/>
                      <w:color w:val="000000"/>
                      <w:szCs w:val="21"/>
                      <w:highlight w:val="none"/>
                    </w:rPr>
                  </w:pPr>
                </w:p>
              </w:tc>
              <w:tc>
                <w:tcPr>
                  <w:tcW w:w="3199" w:type="dxa"/>
                  <w:vMerge w:val="continue"/>
                  <w:noWrap w:val="0"/>
                  <w:vAlign w:val="center"/>
                </w:tcPr>
                <w:p w14:paraId="0E42E324">
                  <w:pPr>
                    <w:widowControl/>
                    <w:spacing w:line="340" w:lineRule="exact"/>
                    <w:ind w:firstLine="420"/>
                    <w:jc w:val="center"/>
                    <w:rPr>
                      <w:rFonts w:hint="default" w:ascii="Times New Roman" w:hAnsi="Times New Roman" w:cs="Times New Roman"/>
                      <w:color w:val="000000"/>
                      <w:szCs w:val="21"/>
                      <w:highlight w:val="none"/>
                    </w:rPr>
                  </w:pPr>
                </w:p>
              </w:tc>
              <w:tc>
                <w:tcPr>
                  <w:tcW w:w="2105" w:type="dxa"/>
                  <w:noWrap w:val="0"/>
                  <w:vAlign w:val="center"/>
                </w:tcPr>
                <w:p w14:paraId="29CBF9FF">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1小时平均</w:t>
                  </w:r>
                </w:p>
              </w:tc>
              <w:tc>
                <w:tcPr>
                  <w:tcW w:w="2281" w:type="dxa"/>
                  <w:noWrap w:val="0"/>
                  <w:vAlign w:val="center"/>
                </w:tcPr>
                <w:p w14:paraId="149EB377">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500</w:t>
                  </w:r>
                </w:p>
              </w:tc>
            </w:tr>
            <w:tr w14:paraId="66144C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50" w:hRule="atLeast"/>
                <w:jc w:val="center"/>
              </w:trPr>
              <w:tc>
                <w:tcPr>
                  <w:tcW w:w="558" w:type="dxa"/>
                  <w:vMerge w:val="restart"/>
                  <w:noWrap w:val="0"/>
                  <w:vAlign w:val="center"/>
                </w:tcPr>
                <w:p w14:paraId="2FAE1B83">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w:t>
                  </w:r>
                </w:p>
              </w:tc>
              <w:tc>
                <w:tcPr>
                  <w:tcW w:w="3199" w:type="dxa"/>
                  <w:vMerge w:val="restart"/>
                  <w:noWrap w:val="0"/>
                  <w:vAlign w:val="center"/>
                </w:tcPr>
                <w:p w14:paraId="29AD9249">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二氧化氮（NO</w:t>
                  </w:r>
                  <w:r>
                    <w:rPr>
                      <w:rFonts w:hint="default" w:ascii="Times New Roman" w:hAnsi="Times New Roman" w:cs="Times New Roman"/>
                      <w:color w:val="000000"/>
                      <w:szCs w:val="21"/>
                      <w:highlight w:val="none"/>
                      <w:vertAlign w:val="subscript"/>
                    </w:rPr>
                    <w:t>2</w:t>
                  </w:r>
                  <w:r>
                    <w:rPr>
                      <w:rFonts w:hint="default" w:ascii="Times New Roman" w:hAnsi="Times New Roman" w:cs="Times New Roman"/>
                      <w:color w:val="000000"/>
                      <w:szCs w:val="21"/>
                      <w:highlight w:val="none"/>
                    </w:rPr>
                    <w:t>）</w:t>
                  </w:r>
                </w:p>
              </w:tc>
              <w:tc>
                <w:tcPr>
                  <w:tcW w:w="2105" w:type="dxa"/>
                  <w:noWrap w:val="0"/>
                  <w:vAlign w:val="center"/>
                </w:tcPr>
                <w:p w14:paraId="4CD9EF3D">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w:t>
                  </w:r>
                </w:p>
              </w:tc>
              <w:tc>
                <w:tcPr>
                  <w:tcW w:w="2281" w:type="dxa"/>
                  <w:noWrap w:val="0"/>
                  <w:vAlign w:val="center"/>
                </w:tcPr>
                <w:p w14:paraId="7CA5D7C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w:t>
                  </w:r>
                </w:p>
              </w:tc>
            </w:tr>
            <w:tr w14:paraId="507A90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58" w:type="dxa"/>
                  <w:vMerge w:val="continue"/>
                  <w:noWrap w:val="0"/>
                  <w:vAlign w:val="center"/>
                </w:tcPr>
                <w:p w14:paraId="359C9C10">
                  <w:pPr>
                    <w:widowControl/>
                    <w:spacing w:line="340" w:lineRule="exact"/>
                    <w:ind w:firstLine="420"/>
                    <w:jc w:val="center"/>
                    <w:rPr>
                      <w:rFonts w:hint="default" w:ascii="Times New Roman" w:hAnsi="Times New Roman" w:cs="Times New Roman"/>
                      <w:color w:val="000000"/>
                      <w:szCs w:val="21"/>
                      <w:highlight w:val="none"/>
                    </w:rPr>
                  </w:pPr>
                </w:p>
              </w:tc>
              <w:tc>
                <w:tcPr>
                  <w:tcW w:w="3199" w:type="dxa"/>
                  <w:vMerge w:val="continue"/>
                  <w:noWrap w:val="0"/>
                  <w:vAlign w:val="center"/>
                </w:tcPr>
                <w:p w14:paraId="522CD8A7">
                  <w:pPr>
                    <w:widowControl/>
                    <w:spacing w:line="340" w:lineRule="exact"/>
                    <w:ind w:firstLine="420"/>
                    <w:jc w:val="center"/>
                    <w:rPr>
                      <w:rFonts w:hint="default" w:ascii="Times New Roman" w:hAnsi="Times New Roman" w:cs="Times New Roman"/>
                      <w:color w:val="000000"/>
                      <w:szCs w:val="21"/>
                      <w:highlight w:val="none"/>
                    </w:rPr>
                  </w:pPr>
                </w:p>
              </w:tc>
              <w:tc>
                <w:tcPr>
                  <w:tcW w:w="2105" w:type="dxa"/>
                  <w:noWrap w:val="0"/>
                  <w:vAlign w:val="center"/>
                </w:tcPr>
                <w:p w14:paraId="13872849">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w:t>
                  </w:r>
                </w:p>
              </w:tc>
              <w:tc>
                <w:tcPr>
                  <w:tcW w:w="2281" w:type="dxa"/>
                  <w:noWrap w:val="0"/>
                  <w:vAlign w:val="center"/>
                </w:tcPr>
                <w:p w14:paraId="408513D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80</w:t>
                  </w:r>
                </w:p>
              </w:tc>
            </w:tr>
            <w:tr w14:paraId="6873E3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58" w:type="dxa"/>
                  <w:vMerge w:val="continue"/>
                  <w:noWrap w:val="0"/>
                  <w:vAlign w:val="center"/>
                </w:tcPr>
                <w:p w14:paraId="632BE840">
                  <w:pPr>
                    <w:widowControl/>
                    <w:spacing w:line="340" w:lineRule="exact"/>
                    <w:ind w:firstLine="420"/>
                    <w:jc w:val="center"/>
                    <w:rPr>
                      <w:rFonts w:hint="default" w:ascii="Times New Roman" w:hAnsi="Times New Roman" w:cs="Times New Roman"/>
                      <w:color w:val="000000"/>
                      <w:szCs w:val="21"/>
                      <w:highlight w:val="none"/>
                    </w:rPr>
                  </w:pPr>
                </w:p>
              </w:tc>
              <w:tc>
                <w:tcPr>
                  <w:tcW w:w="3199" w:type="dxa"/>
                  <w:vMerge w:val="continue"/>
                  <w:noWrap w:val="0"/>
                  <w:vAlign w:val="center"/>
                </w:tcPr>
                <w:p w14:paraId="3A396889">
                  <w:pPr>
                    <w:widowControl/>
                    <w:spacing w:line="340" w:lineRule="exact"/>
                    <w:ind w:firstLine="420"/>
                    <w:jc w:val="center"/>
                    <w:rPr>
                      <w:rFonts w:hint="default" w:ascii="Times New Roman" w:hAnsi="Times New Roman" w:cs="Times New Roman"/>
                      <w:color w:val="000000"/>
                      <w:szCs w:val="21"/>
                      <w:highlight w:val="none"/>
                    </w:rPr>
                  </w:pPr>
                </w:p>
              </w:tc>
              <w:tc>
                <w:tcPr>
                  <w:tcW w:w="2105" w:type="dxa"/>
                  <w:noWrap w:val="0"/>
                  <w:vAlign w:val="center"/>
                </w:tcPr>
                <w:p w14:paraId="16538A23">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1小时平均</w:t>
                  </w:r>
                </w:p>
              </w:tc>
              <w:tc>
                <w:tcPr>
                  <w:tcW w:w="2281" w:type="dxa"/>
                  <w:noWrap w:val="0"/>
                  <w:vAlign w:val="center"/>
                </w:tcPr>
                <w:p w14:paraId="30BBAE74">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200</w:t>
                  </w:r>
                </w:p>
              </w:tc>
            </w:tr>
            <w:tr w14:paraId="0B3E90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25" w:hRule="atLeast"/>
                <w:jc w:val="center"/>
              </w:trPr>
              <w:tc>
                <w:tcPr>
                  <w:tcW w:w="558" w:type="dxa"/>
                  <w:vMerge w:val="restart"/>
                  <w:noWrap w:val="0"/>
                  <w:vAlign w:val="center"/>
                </w:tcPr>
                <w:p w14:paraId="126DDB04">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w:t>
                  </w:r>
                </w:p>
              </w:tc>
              <w:tc>
                <w:tcPr>
                  <w:tcW w:w="3199" w:type="dxa"/>
                  <w:vMerge w:val="restart"/>
                  <w:noWrap w:val="0"/>
                  <w:vAlign w:val="center"/>
                </w:tcPr>
                <w:p w14:paraId="231E0ED2">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一氧化碳（CO）</w:t>
                  </w:r>
                </w:p>
              </w:tc>
              <w:tc>
                <w:tcPr>
                  <w:tcW w:w="2105" w:type="dxa"/>
                  <w:noWrap w:val="0"/>
                  <w:vAlign w:val="center"/>
                </w:tcPr>
                <w:p w14:paraId="65ED519C">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w:t>
                  </w:r>
                </w:p>
              </w:tc>
              <w:tc>
                <w:tcPr>
                  <w:tcW w:w="2281" w:type="dxa"/>
                  <w:noWrap w:val="0"/>
                  <w:vAlign w:val="center"/>
                </w:tcPr>
                <w:p w14:paraId="46DB2D9D">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4000</w:t>
                  </w:r>
                </w:p>
              </w:tc>
            </w:tr>
            <w:tr w14:paraId="610CD2E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25" w:hRule="atLeast"/>
                <w:jc w:val="center"/>
              </w:trPr>
              <w:tc>
                <w:tcPr>
                  <w:tcW w:w="558" w:type="dxa"/>
                  <w:vMerge w:val="continue"/>
                  <w:noWrap w:val="0"/>
                  <w:vAlign w:val="center"/>
                </w:tcPr>
                <w:p w14:paraId="6E74A861">
                  <w:pPr>
                    <w:spacing w:line="340" w:lineRule="exact"/>
                    <w:jc w:val="center"/>
                    <w:rPr>
                      <w:rFonts w:hint="default" w:ascii="Times New Roman" w:hAnsi="Times New Roman" w:cs="Times New Roman"/>
                      <w:color w:val="000000"/>
                      <w:szCs w:val="21"/>
                      <w:highlight w:val="none"/>
                    </w:rPr>
                  </w:pPr>
                </w:p>
              </w:tc>
              <w:tc>
                <w:tcPr>
                  <w:tcW w:w="3199" w:type="dxa"/>
                  <w:vMerge w:val="continue"/>
                  <w:noWrap w:val="0"/>
                  <w:vAlign w:val="center"/>
                </w:tcPr>
                <w:p w14:paraId="25AD0C2D">
                  <w:pPr>
                    <w:spacing w:line="340" w:lineRule="exact"/>
                    <w:jc w:val="center"/>
                    <w:rPr>
                      <w:rFonts w:hint="default" w:ascii="Times New Roman" w:hAnsi="Times New Roman" w:cs="Times New Roman"/>
                      <w:color w:val="000000"/>
                      <w:szCs w:val="21"/>
                      <w:highlight w:val="none"/>
                    </w:rPr>
                  </w:pPr>
                </w:p>
              </w:tc>
              <w:tc>
                <w:tcPr>
                  <w:tcW w:w="2105" w:type="dxa"/>
                  <w:noWrap w:val="0"/>
                  <w:vAlign w:val="center"/>
                </w:tcPr>
                <w:p w14:paraId="3C772846">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1小时平均</w:t>
                  </w:r>
                </w:p>
              </w:tc>
              <w:tc>
                <w:tcPr>
                  <w:tcW w:w="2281" w:type="dxa"/>
                  <w:noWrap w:val="0"/>
                  <w:vAlign w:val="center"/>
                </w:tcPr>
                <w:p w14:paraId="3633859B">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10000</w:t>
                  </w:r>
                </w:p>
              </w:tc>
            </w:tr>
            <w:tr w14:paraId="4DF8CCC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97" w:hRule="atLeast"/>
                <w:jc w:val="center"/>
              </w:trPr>
              <w:tc>
                <w:tcPr>
                  <w:tcW w:w="558" w:type="dxa"/>
                  <w:vMerge w:val="restart"/>
                  <w:noWrap w:val="0"/>
                  <w:vAlign w:val="center"/>
                </w:tcPr>
                <w:p w14:paraId="1A129389">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w:t>
                  </w:r>
                </w:p>
              </w:tc>
              <w:tc>
                <w:tcPr>
                  <w:tcW w:w="3199" w:type="dxa"/>
                  <w:vMerge w:val="restart"/>
                  <w:noWrap w:val="0"/>
                  <w:vAlign w:val="center"/>
                </w:tcPr>
                <w:p w14:paraId="2B1F4431">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臭氧（O</w:t>
                  </w:r>
                  <w:r>
                    <w:rPr>
                      <w:rFonts w:hint="default" w:ascii="Times New Roman" w:hAnsi="Times New Roman" w:cs="Times New Roman"/>
                      <w:color w:val="000000"/>
                      <w:szCs w:val="21"/>
                      <w:highlight w:val="none"/>
                      <w:vertAlign w:val="subscript"/>
                    </w:rPr>
                    <w:t>3</w:t>
                  </w:r>
                  <w:r>
                    <w:rPr>
                      <w:rFonts w:hint="default" w:ascii="Times New Roman" w:hAnsi="Times New Roman" w:cs="Times New Roman"/>
                      <w:color w:val="000000"/>
                      <w:szCs w:val="21"/>
                      <w:highlight w:val="none"/>
                    </w:rPr>
                    <w:t>）</w:t>
                  </w:r>
                </w:p>
              </w:tc>
              <w:tc>
                <w:tcPr>
                  <w:tcW w:w="2105" w:type="dxa"/>
                  <w:noWrap w:val="0"/>
                  <w:vAlign w:val="center"/>
                </w:tcPr>
                <w:p w14:paraId="41744CE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日最大8小时平均</w:t>
                  </w:r>
                </w:p>
              </w:tc>
              <w:tc>
                <w:tcPr>
                  <w:tcW w:w="2281" w:type="dxa"/>
                  <w:noWrap w:val="0"/>
                  <w:vAlign w:val="center"/>
                </w:tcPr>
                <w:p w14:paraId="2CA8C76E">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160</w:t>
                  </w:r>
                </w:p>
              </w:tc>
            </w:tr>
            <w:tr w14:paraId="34B337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50" w:hRule="atLeast"/>
                <w:jc w:val="center"/>
              </w:trPr>
              <w:tc>
                <w:tcPr>
                  <w:tcW w:w="558" w:type="dxa"/>
                  <w:vMerge w:val="continue"/>
                  <w:noWrap w:val="0"/>
                  <w:vAlign w:val="center"/>
                </w:tcPr>
                <w:p w14:paraId="098542D5">
                  <w:pPr>
                    <w:spacing w:line="340" w:lineRule="exact"/>
                    <w:jc w:val="center"/>
                    <w:rPr>
                      <w:rFonts w:hint="default" w:ascii="Times New Roman" w:hAnsi="Times New Roman" w:cs="Times New Roman"/>
                      <w:color w:val="000000"/>
                      <w:szCs w:val="21"/>
                      <w:highlight w:val="none"/>
                    </w:rPr>
                  </w:pPr>
                </w:p>
              </w:tc>
              <w:tc>
                <w:tcPr>
                  <w:tcW w:w="3199" w:type="dxa"/>
                  <w:vMerge w:val="continue"/>
                  <w:noWrap w:val="0"/>
                  <w:vAlign w:val="center"/>
                </w:tcPr>
                <w:p w14:paraId="3C0C72B9">
                  <w:pPr>
                    <w:spacing w:line="340" w:lineRule="exact"/>
                    <w:jc w:val="center"/>
                    <w:rPr>
                      <w:rFonts w:hint="default" w:ascii="Times New Roman" w:hAnsi="Times New Roman" w:cs="Times New Roman"/>
                      <w:color w:val="000000"/>
                      <w:szCs w:val="21"/>
                      <w:highlight w:val="none"/>
                    </w:rPr>
                  </w:pPr>
                </w:p>
              </w:tc>
              <w:tc>
                <w:tcPr>
                  <w:tcW w:w="2105" w:type="dxa"/>
                  <w:noWrap w:val="0"/>
                  <w:vAlign w:val="center"/>
                </w:tcPr>
                <w:p w14:paraId="005126F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1小时平均</w:t>
                  </w:r>
                </w:p>
              </w:tc>
              <w:tc>
                <w:tcPr>
                  <w:tcW w:w="2281" w:type="dxa"/>
                  <w:noWrap w:val="0"/>
                  <w:vAlign w:val="center"/>
                </w:tcPr>
                <w:p w14:paraId="78C71BFC">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200</w:t>
                  </w:r>
                </w:p>
              </w:tc>
            </w:tr>
            <w:tr w14:paraId="7CDFDA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38" w:hRule="atLeast"/>
                <w:jc w:val="center"/>
              </w:trPr>
              <w:tc>
                <w:tcPr>
                  <w:tcW w:w="558" w:type="dxa"/>
                  <w:vMerge w:val="restart"/>
                  <w:noWrap w:val="0"/>
                  <w:vAlign w:val="center"/>
                </w:tcPr>
                <w:p w14:paraId="44742F0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5</w:t>
                  </w:r>
                </w:p>
              </w:tc>
              <w:tc>
                <w:tcPr>
                  <w:tcW w:w="3199" w:type="dxa"/>
                  <w:vMerge w:val="restart"/>
                  <w:noWrap w:val="0"/>
                  <w:vAlign w:val="center"/>
                </w:tcPr>
                <w:p w14:paraId="39B5C16A">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粒径小于等于10μm的颗粒物（PM</w:t>
                  </w:r>
                  <w:r>
                    <w:rPr>
                      <w:rFonts w:hint="default" w:ascii="Times New Roman" w:hAnsi="Times New Roman" w:cs="Times New Roman"/>
                      <w:color w:val="000000"/>
                      <w:szCs w:val="21"/>
                      <w:highlight w:val="none"/>
                      <w:vertAlign w:val="subscript"/>
                    </w:rPr>
                    <w:t>10</w:t>
                  </w:r>
                  <w:r>
                    <w:rPr>
                      <w:rFonts w:hint="default" w:ascii="Times New Roman" w:hAnsi="Times New Roman" w:cs="Times New Roman"/>
                      <w:color w:val="000000"/>
                      <w:szCs w:val="21"/>
                      <w:highlight w:val="none"/>
                    </w:rPr>
                    <w:t>）</w:t>
                  </w:r>
                </w:p>
              </w:tc>
              <w:tc>
                <w:tcPr>
                  <w:tcW w:w="2105" w:type="dxa"/>
                  <w:noWrap w:val="0"/>
                  <w:vAlign w:val="center"/>
                </w:tcPr>
                <w:p w14:paraId="5542231E">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w:t>
                  </w:r>
                </w:p>
              </w:tc>
              <w:tc>
                <w:tcPr>
                  <w:tcW w:w="2281" w:type="dxa"/>
                  <w:noWrap w:val="0"/>
                  <w:vAlign w:val="center"/>
                </w:tcPr>
                <w:p w14:paraId="7D96FB4F">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70</w:t>
                  </w:r>
                </w:p>
              </w:tc>
            </w:tr>
            <w:tr w14:paraId="6DC5C3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87" w:hRule="atLeast"/>
                <w:jc w:val="center"/>
              </w:trPr>
              <w:tc>
                <w:tcPr>
                  <w:tcW w:w="558" w:type="dxa"/>
                  <w:vMerge w:val="continue"/>
                  <w:noWrap w:val="0"/>
                  <w:vAlign w:val="center"/>
                </w:tcPr>
                <w:p w14:paraId="005D34A3">
                  <w:pPr>
                    <w:widowControl/>
                    <w:spacing w:line="340" w:lineRule="exact"/>
                    <w:ind w:firstLine="420"/>
                    <w:jc w:val="center"/>
                    <w:rPr>
                      <w:rFonts w:hint="default" w:ascii="Times New Roman" w:hAnsi="Times New Roman" w:cs="Times New Roman"/>
                      <w:color w:val="000000"/>
                      <w:szCs w:val="21"/>
                      <w:highlight w:val="none"/>
                    </w:rPr>
                  </w:pPr>
                </w:p>
              </w:tc>
              <w:tc>
                <w:tcPr>
                  <w:tcW w:w="3199" w:type="dxa"/>
                  <w:vMerge w:val="continue"/>
                  <w:noWrap w:val="0"/>
                  <w:vAlign w:val="center"/>
                </w:tcPr>
                <w:p w14:paraId="1A6C0245">
                  <w:pPr>
                    <w:widowControl/>
                    <w:spacing w:line="340" w:lineRule="exact"/>
                    <w:ind w:firstLine="420"/>
                    <w:jc w:val="center"/>
                    <w:rPr>
                      <w:rFonts w:hint="default" w:ascii="Times New Roman" w:hAnsi="Times New Roman" w:cs="Times New Roman"/>
                      <w:color w:val="000000"/>
                      <w:szCs w:val="21"/>
                      <w:highlight w:val="none"/>
                    </w:rPr>
                  </w:pPr>
                </w:p>
              </w:tc>
              <w:tc>
                <w:tcPr>
                  <w:tcW w:w="2105" w:type="dxa"/>
                  <w:noWrap w:val="0"/>
                  <w:vAlign w:val="center"/>
                </w:tcPr>
                <w:p w14:paraId="1058A381">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w:t>
                  </w:r>
                </w:p>
              </w:tc>
              <w:tc>
                <w:tcPr>
                  <w:tcW w:w="2281" w:type="dxa"/>
                  <w:noWrap w:val="0"/>
                  <w:vAlign w:val="center"/>
                </w:tcPr>
                <w:p w14:paraId="4E41B85E">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150</w:t>
                  </w:r>
                </w:p>
              </w:tc>
            </w:tr>
            <w:tr w14:paraId="60E890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58" w:type="dxa"/>
                  <w:vMerge w:val="restart"/>
                  <w:noWrap w:val="0"/>
                  <w:vAlign w:val="center"/>
                </w:tcPr>
                <w:p w14:paraId="6AC7339D">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w:t>
                  </w:r>
                </w:p>
              </w:tc>
              <w:tc>
                <w:tcPr>
                  <w:tcW w:w="3199" w:type="dxa"/>
                  <w:vMerge w:val="restart"/>
                  <w:noWrap w:val="0"/>
                  <w:vAlign w:val="center"/>
                </w:tcPr>
                <w:p w14:paraId="23264700">
                  <w:pPr>
                    <w:widowControl/>
                    <w:spacing w:line="340" w:lineRule="exact"/>
                    <w:ind w:firstLine="42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粒径小于等于2.5μm的颗粒物（PM</w:t>
                  </w:r>
                  <w:r>
                    <w:rPr>
                      <w:rFonts w:hint="default" w:ascii="Times New Roman" w:hAnsi="Times New Roman" w:cs="Times New Roman"/>
                      <w:color w:val="000000"/>
                      <w:szCs w:val="21"/>
                      <w:highlight w:val="none"/>
                      <w:vertAlign w:val="subscript"/>
                    </w:rPr>
                    <w:t>2.5</w:t>
                  </w:r>
                  <w:r>
                    <w:rPr>
                      <w:rFonts w:hint="default" w:ascii="Times New Roman" w:hAnsi="Times New Roman" w:cs="Times New Roman"/>
                      <w:color w:val="000000"/>
                      <w:szCs w:val="21"/>
                      <w:highlight w:val="none"/>
                    </w:rPr>
                    <w:t>）</w:t>
                  </w:r>
                </w:p>
              </w:tc>
              <w:tc>
                <w:tcPr>
                  <w:tcW w:w="2105" w:type="dxa"/>
                  <w:noWrap w:val="0"/>
                  <w:vAlign w:val="center"/>
                </w:tcPr>
                <w:p w14:paraId="0EBC7B92">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年平均</w:t>
                  </w:r>
                </w:p>
              </w:tc>
              <w:tc>
                <w:tcPr>
                  <w:tcW w:w="2281" w:type="dxa"/>
                  <w:noWrap w:val="0"/>
                  <w:vAlign w:val="center"/>
                </w:tcPr>
                <w:p w14:paraId="6875E9F7">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35</w:t>
                  </w:r>
                </w:p>
              </w:tc>
            </w:tr>
            <w:tr w14:paraId="058098B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558" w:type="dxa"/>
                  <w:vMerge w:val="continue"/>
                  <w:noWrap w:val="0"/>
                  <w:vAlign w:val="center"/>
                </w:tcPr>
                <w:p w14:paraId="60805444">
                  <w:pPr>
                    <w:widowControl/>
                    <w:spacing w:line="340" w:lineRule="exact"/>
                    <w:ind w:firstLine="420"/>
                    <w:jc w:val="center"/>
                    <w:rPr>
                      <w:rFonts w:hint="default" w:ascii="Times New Roman" w:hAnsi="Times New Roman" w:cs="Times New Roman"/>
                      <w:color w:val="000000"/>
                      <w:szCs w:val="21"/>
                      <w:highlight w:val="none"/>
                    </w:rPr>
                  </w:pPr>
                </w:p>
              </w:tc>
              <w:tc>
                <w:tcPr>
                  <w:tcW w:w="3199" w:type="dxa"/>
                  <w:vMerge w:val="continue"/>
                  <w:noWrap w:val="0"/>
                  <w:vAlign w:val="center"/>
                </w:tcPr>
                <w:p w14:paraId="0759566C">
                  <w:pPr>
                    <w:widowControl/>
                    <w:spacing w:line="340" w:lineRule="exact"/>
                    <w:ind w:firstLine="420"/>
                    <w:jc w:val="center"/>
                    <w:rPr>
                      <w:rFonts w:hint="default" w:ascii="Times New Roman" w:hAnsi="Times New Roman" w:cs="Times New Roman"/>
                      <w:color w:val="000000"/>
                      <w:szCs w:val="21"/>
                      <w:highlight w:val="none"/>
                    </w:rPr>
                  </w:pPr>
                </w:p>
              </w:tc>
              <w:tc>
                <w:tcPr>
                  <w:tcW w:w="2105" w:type="dxa"/>
                  <w:noWrap w:val="0"/>
                  <w:vAlign w:val="center"/>
                </w:tcPr>
                <w:p w14:paraId="075551C6">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24小时平均</w:t>
                  </w:r>
                </w:p>
              </w:tc>
              <w:tc>
                <w:tcPr>
                  <w:tcW w:w="2281" w:type="dxa"/>
                  <w:noWrap w:val="0"/>
                  <w:vAlign w:val="center"/>
                </w:tcPr>
                <w:p w14:paraId="3B300354">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75</w:t>
                  </w:r>
                </w:p>
              </w:tc>
            </w:tr>
          </w:tbl>
          <w:p w14:paraId="72404EA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napToGrid w:val="0"/>
                <w:color w:val="000000"/>
                <w:kern w:val="0"/>
                <w:sz w:val="24"/>
                <w:szCs w:val="24"/>
                <w:highlight w:val="none"/>
                <w:lang w:val="en-US" w:eastAsia="zh-CN"/>
              </w:rPr>
              <w:t>（2）</w:t>
            </w:r>
            <w:r>
              <w:rPr>
                <w:rFonts w:hint="default" w:ascii="Times New Roman" w:hAnsi="Times New Roman" w:eastAsia="宋体" w:cs="Times New Roman"/>
                <w:sz w:val="24"/>
                <w:szCs w:val="24"/>
                <w:highlight w:val="none"/>
                <w:lang w:val="en-US" w:eastAsia="zh-CN"/>
              </w:rPr>
              <w:t>特征污染物</w:t>
            </w:r>
          </w:p>
          <w:p w14:paraId="7DCEA1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运营过程中产生的特征污染物为非甲烷总烃，参照《大气污染物综合排放标准详解》，由于我国目前没有相关的环境质量标准，美国的同类标准已废除，故我国石化部门和若干地区通常采用以色列同类标准的短期平均值，为 5mg/m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，但考虑到我国多数地区的实测值，非甲烷总烃的环境浓度一般不超过1mg/m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，因此在制定标准时选用2mg/m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作为计算依据。</w:t>
            </w:r>
            <w:r>
              <w:rPr>
                <w:rFonts w:hint="eastAsia" w:ascii="Times New Roman" w:hAnsi="Times New Roman" w:eastAsia="宋体" w:cs="Times New Roman"/>
                <w:sz w:val="24"/>
                <w:szCs w:val="24"/>
                <w:highlight w:val="none"/>
                <w:lang w:val="en-US" w:eastAsia="zh-CN"/>
              </w:rPr>
              <w:t>特征污染物的环境质量标准浓度</w:t>
            </w:r>
            <w:r>
              <w:rPr>
                <w:rFonts w:hint="default" w:ascii="Times New Roman" w:hAnsi="Times New Roman" w:eastAsia="宋体" w:cs="Times New Roman"/>
                <w:sz w:val="24"/>
                <w:szCs w:val="24"/>
                <w:highlight w:val="none"/>
                <w:lang w:val="en-US" w:eastAsia="zh-CN"/>
              </w:rPr>
              <w:t>限值，详见表3</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p>
          <w:p w14:paraId="0B25424A">
            <w:pPr>
              <w:spacing w:line="360" w:lineRule="auto"/>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表3</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lang w:val="en-US" w:eastAsia="zh-CN"/>
              </w:rPr>
              <w:t>-</w:t>
            </w:r>
            <w:r>
              <w:rPr>
                <w:rFonts w:hint="eastAsia" w:ascii="Times New Roman" w:hAnsi="Times New Roman" w:eastAsia="宋体" w:cs="Times New Roman"/>
                <w:b/>
                <w:bCs/>
                <w:color w:val="000000"/>
                <w:sz w:val="24"/>
                <w:highlight w:val="none"/>
                <w:lang w:val="en-US" w:eastAsia="zh-CN"/>
              </w:rPr>
              <w:t>2</w:t>
            </w:r>
            <w:r>
              <w:rPr>
                <w:rFonts w:hint="default" w:ascii="Times New Roman" w:hAnsi="Times New Roman" w:cs="Times New Roman"/>
                <w:b/>
                <w:bCs/>
                <w:color w:val="000000"/>
                <w:sz w:val="24"/>
                <w:highlight w:val="none"/>
              </w:rPr>
              <w:t xml:space="preserve"> 特征</w:t>
            </w:r>
            <w:r>
              <w:rPr>
                <w:rFonts w:hint="eastAsia" w:ascii="Times New Roman" w:hAnsi="Times New Roman" w:eastAsia="宋体" w:cs="Times New Roman"/>
                <w:b/>
                <w:bCs/>
                <w:color w:val="000000"/>
                <w:sz w:val="24"/>
                <w:highlight w:val="none"/>
                <w:lang w:val="en-US" w:eastAsia="zh-CN"/>
              </w:rPr>
              <w:t>污染物</w:t>
            </w:r>
            <w:r>
              <w:rPr>
                <w:rFonts w:hint="default" w:ascii="Times New Roman" w:hAnsi="Times New Roman" w:cs="Times New Roman"/>
                <w:b/>
                <w:bCs/>
                <w:color w:val="000000"/>
                <w:sz w:val="24"/>
                <w:highlight w:val="none"/>
              </w:rPr>
              <w:t>的环境质量标准</w:t>
            </w:r>
          </w:p>
          <w:tbl>
            <w:tblPr>
              <w:tblStyle w:val="1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4"/>
              <w:gridCol w:w="1133"/>
              <w:gridCol w:w="880"/>
              <w:gridCol w:w="2267"/>
              <w:gridCol w:w="3324"/>
            </w:tblGrid>
            <w:tr w14:paraId="457544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62" w:hRule="atLeast"/>
                <w:tblHeader/>
                <w:jc w:val="center"/>
              </w:trPr>
              <w:tc>
                <w:tcPr>
                  <w:tcW w:w="554" w:type="dxa"/>
                  <w:noWrap w:val="0"/>
                  <w:vAlign w:val="center"/>
                </w:tcPr>
                <w:p w14:paraId="0055196A">
                  <w:pPr>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序号</w:t>
                  </w:r>
                </w:p>
              </w:tc>
              <w:tc>
                <w:tcPr>
                  <w:tcW w:w="1133" w:type="dxa"/>
                  <w:noWrap w:val="0"/>
                  <w:vAlign w:val="center"/>
                </w:tcPr>
                <w:p w14:paraId="5473E180">
                  <w:pPr>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污染物名称</w:t>
                  </w:r>
                </w:p>
              </w:tc>
              <w:tc>
                <w:tcPr>
                  <w:tcW w:w="880" w:type="dxa"/>
                  <w:noWrap w:val="0"/>
                  <w:vAlign w:val="center"/>
                </w:tcPr>
                <w:p w14:paraId="773A85EC">
                  <w:pPr>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取值时间</w:t>
                  </w:r>
                </w:p>
              </w:tc>
              <w:tc>
                <w:tcPr>
                  <w:tcW w:w="2267" w:type="dxa"/>
                  <w:noWrap w:val="0"/>
                  <w:vAlign w:val="center"/>
                </w:tcPr>
                <w:p w14:paraId="6F101CBE">
                  <w:pPr>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标准浓度限值</w:t>
                  </w:r>
                  <w:r>
                    <w:rPr>
                      <w:rFonts w:hint="eastAsia" w:ascii="Times New Roman" w:hAnsi="Times New Roman" w:eastAsia="宋体" w:cs="Times New Roman"/>
                      <w:color w:val="000000"/>
                      <w:highlight w:val="none"/>
                      <w:lang w:eastAsia="zh-CN"/>
                    </w:rPr>
                    <w:t>（</w:t>
                  </w:r>
                  <w:r>
                    <w:rPr>
                      <w:rFonts w:hint="default" w:ascii="Times New Roman" w:hAnsi="Times New Roman" w:cs="Times New Roman"/>
                      <w:color w:val="000000"/>
                      <w:highlight w:val="none"/>
                    </w:rPr>
                    <w:t>mg/m</w:t>
                  </w:r>
                  <w:r>
                    <w:rPr>
                      <w:rFonts w:hint="default" w:ascii="Times New Roman" w:hAnsi="Times New Roman" w:cs="Times New Roman"/>
                      <w:color w:val="000000"/>
                      <w:highlight w:val="none"/>
                      <w:vertAlign w:val="superscript"/>
                    </w:rPr>
                    <w:t>3</w:t>
                  </w:r>
                  <w:r>
                    <w:rPr>
                      <w:rFonts w:hint="eastAsia" w:ascii="Times New Roman" w:hAnsi="Times New Roman" w:eastAsia="宋体" w:cs="Times New Roman"/>
                      <w:color w:val="000000"/>
                      <w:highlight w:val="none"/>
                      <w:lang w:eastAsia="zh-CN"/>
                    </w:rPr>
                    <w:t>）</w:t>
                  </w:r>
                </w:p>
              </w:tc>
              <w:tc>
                <w:tcPr>
                  <w:tcW w:w="3324" w:type="dxa"/>
                  <w:noWrap w:val="0"/>
                  <w:vAlign w:val="center"/>
                </w:tcPr>
                <w:p w14:paraId="5EA16FAA">
                  <w:pPr>
                    <w:spacing w:line="340" w:lineRule="exact"/>
                    <w:ind w:firstLine="420" w:firstLineChars="200"/>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标准来源</w:t>
                  </w:r>
                </w:p>
              </w:tc>
            </w:tr>
            <w:tr w14:paraId="5C9965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554" w:type="dxa"/>
                  <w:noWrap w:val="0"/>
                  <w:vAlign w:val="center"/>
                </w:tcPr>
                <w:p w14:paraId="4B754923">
                  <w:pPr>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1</w:t>
                  </w:r>
                </w:p>
              </w:tc>
              <w:tc>
                <w:tcPr>
                  <w:tcW w:w="1133" w:type="dxa"/>
                  <w:noWrap w:val="0"/>
                  <w:vAlign w:val="center"/>
                </w:tcPr>
                <w:p w14:paraId="74C41366">
                  <w:pPr>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非甲烷总烃</w:t>
                  </w:r>
                </w:p>
              </w:tc>
              <w:tc>
                <w:tcPr>
                  <w:tcW w:w="880" w:type="dxa"/>
                  <w:noWrap w:val="0"/>
                  <w:vAlign w:val="center"/>
                </w:tcPr>
                <w:p w14:paraId="20AB47C6">
                  <w:pPr>
                    <w:spacing w:line="340" w:lineRule="exact"/>
                    <w:jc w:val="center"/>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w:t>
                  </w:r>
                </w:p>
              </w:tc>
              <w:tc>
                <w:tcPr>
                  <w:tcW w:w="2267" w:type="dxa"/>
                  <w:noWrap w:val="0"/>
                  <w:vAlign w:val="center"/>
                </w:tcPr>
                <w:p w14:paraId="689DB165">
                  <w:pPr>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2.0</w:t>
                  </w:r>
                </w:p>
              </w:tc>
              <w:tc>
                <w:tcPr>
                  <w:tcW w:w="3324" w:type="dxa"/>
                  <w:noWrap w:val="0"/>
                  <w:vAlign w:val="center"/>
                </w:tcPr>
                <w:p w14:paraId="4B1A5821">
                  <w:pPr>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《大气污染物综合排放标准详解》中的标准</w:t>
                  </w:r>
                  <w:r>
                    <w:rPr>
                      <w:rFonts w:hint="eastAsia" w:ascii="Times New Roman" w:hAnsi="Times New Roman" w:eastAsia="宋体" w:cs="Times New Roman"/>
                      <w:color w:val="000000"/>
                      <w:highlight w:val="none"/>
                      <w:lang w:eastAsia="zh-CN"/>
                    </w:rPr>
                    <w:t>（</w:t>
                  </w:r>
                  <w:r>
                    <w:rPr>
                      <w:rFonts w:hint="default" w:ascii="Times New Roman" w:hAnsi="Times New Roman" w:eastAsia="Times New Roman" w:cs="Times New Roman"/>
                      <w:highlight w:val="none"/>
                    </w:rPr>
                    <w:t>P244</w:t>
                  </w:r>
                  <w:r>
                    <w:rPr>
                      <w:rFonts w:hint="eastAsia" w:ascii="Times New Roman" w:hAnsi="Times New Roman" w:eastAsia="宋体" w:cs="Times New Roman"/>
                      <w:highlight w:val="none"/>
                      <w:lang w:eastAsia="zh-CN"/>
                    </w:rPr>
                    <w:t>）</w:t>
                  </w:r>
                </w:p>
              </w:tc>
            </w:tr>
          </w:tbl>
          <w:p w14:paraId="7608FFC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3.2.2 大气环境质量现状</w:t>
            </w:r>
          </w:p>
          <w:p w14:paraId="5BF622F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ascii="Times New Roman" w:hAnsi="Times New Roman" w:eastAsia="宋体" w:cs="Times New Roman"/>
                <w:color w:val="auto"/>
                <w:sz w:val="24"/>
                <w:szCs w:val="24"/>
                <w:highlight w:val="none"/>
              </w:rPr>
              <w:t>本项目位于福建省泉州市</w:t>
            </w:r>
            <w:r>
              <w:rPr>
                <w:rFonts w:hint="eastAsia" w:ascii="Times New Roman" w:hAnsi="Times New Roman" w:eastAsia="宋体" w:cs="Times New Roman"/>
                <w:color w:val="auto"/>
                <w:sz w:val="24"/>
                <w:szCs w:val="24"/>
                <w:highlight w:val="none"/>
                <w:lang w:val="en-US" w:eastAsia="zh-CN"/>
              </w:rPr>
              <w:t>永春县</w:t>
            </w:r>
            <w:r>
              <w:rPr>
                <w:rFonts w:ascii="Times New Roman" w:hAnsi="Times New Roman" w:eastAsia="宋体" w:cs="Times New Roman"/>
                <w:color w:val="auto"/>
                <w:sz w:val="24"/>
                <w:szCs w:val="24"/>
                <w:highlight w:val="none"/>
              </w:rPr>
              <w:t>蓬壶镇蓬壶工业园</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按照</w:t>
            </w:r>
            <w:r>
              <w:rPr>
                <w:rFonts w:hint="default" w:ascii="Times New Roman" w:hAnsi="Times New Roman" w:eastAsia="宋体" w:cs="Times New Roman"/>
                <w:sz w:val="24"/>
                <w:szCs w:val="24"/>
                <w:highlight w:val="none"/>
                <w:lang w:val="en-US" w:eastAsia="zh-CN"/>
              </w:rPr>
              <w:t>泉州市永春县人民政府网发布的</w:t>
            </w:r>
            <w:r>
              <w:rPr>
                <w:rFonts w:hint="default" w:ascii="Times New Roman" w:hAnsi="Times New Roman" w:eastAsia="宋体" w:cs="Times New Roman"/>
                <w:color w:val="auto"/>
                <w:sz w:val="24"/>
                <w:szCs w:val="24"/>
                <w:highlight w:val="none"/>
                <w:lang w:val="en-US" w:eastAsia="zh-CN"/>
              </w:rPr>
              <w:t>《永春县</w:t>
            </w:r>
            <w:r>
              <w:rPr>
                <w:rFonts w:hint="eastAsia"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lang w:val="en-US" w:eastAsia="zh-CN"/>
              </w:rPr>
              <w:t>状况公报（202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 年度）》</w:t>
            </w:r>
            <w:r>
              <w:rPr>
                <w:rFonts w:hint="default" w:ascii="Times New Roman" w:hAnsi="Times New Roman" w:eastAsia="宋体" w:cs="Times New Roman"/>
                <w:sz w:val="24"/>
                <w:szCs w:val="24"/>
                <w:highlight w:val="none"/>
                <w:lang w:val="en-US" w:eastAsia="zh-CN"/>
              </w:rPr>
              <w:t>：根据《城市环境空气质量排名技术规定》（环办监测</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2018</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19号）评价，永春县环境空气质量综合指数为1.99，首要污染物为臭氧，排名全市第二；环境空气质量优良以上天数为365天，优良率99.7%。按照《环境空气质量标准》（GB3095-2012）评价，可吸入颗粒物（PM</w:t>
            </w:r>
            <w:r>
              <w:rPr>
                <w:rFonts w:hint="default" w:ascii="Times New Roman" w:hAnsi="Times New Roman" w:eastAsia="宋体" w:cs="Times New Roman"/>
                <w:sz w:val="24"/>
                <w:szCs w:val="24"/>
                <w:highlight w:val="none"/>
                <w:vertAlign w:val="subscript"/>
                <w:lang w:val="en-US" w:eastAsia="zh-CN"/>
              </w:rPr>
              <w:t>10</w:t>
            </w:r>
            <w:r>
              <w:rPr>
                <w:rFonts w:hint="default" w:ascii="Times New Roman" w:hAnsi="Times New Roman" w:eastAsia="宋体" w:cs="Times New Roman"/>
                <w:sz w:val="24"/>
                <w:szCs w:val="24"/>
                <w:highlight w:val="none"/>
                <w:lang w:val="en-US" w:eastAsia="zh-CN"/>
              </w:rPr>
              <w:t>）年均值为0.030mg/m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，细颗粒物（PM</w:t>
            </w:r>
            <w:r>
              <w:rPr>
                <w:rFonts w:hint="default" w:ascii="Times New Roman" w:hAnsi="Times New Roman" w:eastAsia="宋体" w:cs="Times New Roman"/>
                <w:sz w:val="24"/>
                <w:szCs w:val="24"/>
                <w:highlight w:val="none"/>
                <w:vertAlign w:val="subscript"/>
                <w:lang w:val="en-US" w:eastAsia="zh-CN"/>
              </w:rPr>
              <w:t>2.5</w:t>
            </w:r>
            <w:r>
              <w:rPr>
                <w:rFonts w:hint="default" w:ascii="Times New Roman" w:hAnsi="Times New Roman" w:eastAsia="宋体" w:cs="Times New Roman"/>
                <w:sz w:val="24"/>
                <w:szCs w:val="24"/>
                <w:highlight w:val="none"/>
                <w:lang w:val="en-US" w:eastAsia="zh-CN"/>
              </w:rPr>
              <w:t>）年均值为0.014mg/m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，二氧化氮年均值为0.010mg/m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，二氧化硫年均值为0.004mg/m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，一氧化碳（CO）日均值的第95百分位数年均值为0.7mg/m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，均达到国家一级标准；臭氧（O</w:t>
            </w:r>
            <w:r>
              <w:rPr>
                <w:rFonts w:hint="default" w:ascii="Times New Roman" w:hAnsi="Times New Roman" w:eastAsia="宋体" w:cs="Times New Roman"/>
                <w:sz w:val="24"/>
                <w:szCs w:val="24"/>
                <w:highlight w:val="none"/>
                <w:vertAlign w:val="subscript"/>
                <w:lang w:val="en-US" w:eastAsia="zh-CN"/>
              </w:rPr>
              <w:t>3</w:t>
            </w:r>
            <w:r>
              <w:rPr>
                <w:rFonts w:hint="default" w:ascii="Times New Roman" w:hAnsi="Times New Roman" w:eastAsia="宋体" w:cs="Times New Roman"/>
                <w:sz w:val="24"/>
                <w:szCs w:val="24"/>
                <w:highlight w:val="none"/>
                <w:lang w:val="en-US" w:eastAsia="zh-CN"/>
              </w:rPr>
              <w:t>）日最大8小时平均值的第90百分位数年均值为0.106mg/m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，均达到年评价指标二级以上标准要求。</w:t>
            </w:r>
          </w:p>
          <w:p w14:paraId="7AFDCA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综上所述，</w:t>
            </w:r>
            <w:r>
              <w:rPr>
                <w:rFonts w:hint="eastAsia" w:ascii="Times New Roman" w:hAnsi="Times New Roman" w:eastAsia="宋体" w:cs="Times New Roman"/>
                <w:sz w:val="24"/>
                <w:szCs w:val="24"/>
                <w:highlight w:val="none"/>
                <w:lang w:val="en-US" w:eastAsia="zh-CN"/>
              </w:rPr>
              <w:t>项目所在区域</w:t>
            </w:r>
            <w:r>
              <w:rPr>
                <w:rFonts w:hint="default" w:ascii="Times New Roman" w:hAnsi="Times New Roman" w:eastAsia="宋体" w:cs="Times New Roman"/>
                <w:sz w:val="24"/>
                <w:szCs w:val="24"/>
                <w:highlight w:val="none"/>
                <w:lang w:val="en-US" w:eastAsia="zh-CN"/>
              </w:rPr>
              <w:t>环境空气质量</w:t>
            </w:r>
            <w:r>
              <w:rPr>
                <w:rFonts w:hint="eastAsia" w:ascii="Times New Roman" w:hAnsi="Times New Roman" w:eastAsia="宋体" w:cs="Times New Roman"/>
                <w:sz w:val="24"/>
                <w:szCs w:val="24"/>
                <w:highlight w:val="none"/>
                <w:lang w:val="en-US" w:eastAsia="zh-CN"/>
              </w:rPr>
              <w:t>均</w:t>
            </w:r>
            <w:r>
              <w:rPr>
                <w:rFonts w:hint="default" w:ascii="Times New Roman" w:hAnsi="Times New Roman" w:eastAsia="宋体" w:cs="Times New Roman"/>
                <w:sz w:val="24"/>
                <w:szCs w:val="24"/>
                <w:highlight w:val="none"/>
                <w:lang w:val="en-US" w:eastAsia="zh-CN"/>
              </w:rPr>
              <w:t>符合《环境空气质量标准》（</w:t>
            </w:r>
            <w:r>
              <w:rPr>
                <w:rFonts w:hint="eastAsia" w:ascii="Times New Roman" w:hAnsi="Times New Roman" w:eastAsia="宋体" w:cs="Times New Roman"/>
                <w:sz w:val="24"/>
                <w:szCs w:val="24"/>
                <w:highlight w:val="none"/>
                <w:lang w:val="en-US" w:eastAsia="zh-CN"/>
              </w:rPr>
              <w:t>GB 3095-2012</w:t>
            </w:r>
            <w:r>
              <w:rPr>
                <w:rFonts w:hint="default" w:ascii="Times New Roman" w:hAnsi="Times New Roman" w:eastAsia="宋体" w:cs="Times New Roman"/>
                <w:sz w:val="24"/>
                <w:szCs w:val="24"/>
                <w:highlight w:val="none"/>
                <w:lang w:val="en-US" w:eastAsia="zh-CN"/>
              </w:rPr>
              <w:t>）及其2018年修改单中二级标准，所在区域属于达标区。</w:t>
            </w:r>
          </w:p>
          <w:p w14:paraId="5E95ED8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为了解该项目区域大气特征污染物的环境质量现状，</w:t>
            </w:r>
            <w:r>
              <w:rPr>
                <w:rFonts w:hint="eastAsia" w:ascii="Times New Roman" w:hAnsi="Times New Roman" w:eastAsia="宋体" w:cs="Times New Roman"/>
                <w:color w:val="auto"/>
                <w:sz w:val="24"/>
                <w:szCs w:val="24"/>
                <w:highlight w:val="none"/>
                <w:lang w:val="en-US" w:eastAsia="zh-CN"/>
              </w:rPr>
              <w:t>本项目收集了近3年5 km范围内与项目排放的特征污染物有关的历史监测资料。</w:t>
            </w:r>
            <w:r>
              <w:rPr>
                <w:rFonts w:hint="default" w:ascii="Times New Roman" w:hAnsi="Times New Roman" w:eastAsia="宋体" w:cs="Times New Roman"/>
                <w:color w:val="auto"/>
                <w:sz w:val="24"/>
                <w:szCs w:val="24"/>
                <w:highlight w:val="none"/>
                <w:lang w:val="en-US" w:eastAsia="zh-CN"/>
              </w:rPr>
              <w:t>本项目引用福建九五检测技术服务有限公司于2024年5月13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15日对本项目所在区域环境空气质量现状</w:t>
            </w:r>
            <w:r>
              <w:rPr>
                <w:rFonts w:hint="eastAsia" w:ascii="Times New Roman" w:hAnsi="Times New Roman" w:eastAsia="宋体" w:cs="Times New Roman"/>
                <w:color w:val="auto"/>
                <w:sz w:val="24"/>
                <w:szCs w:val="24"/>
                <w:highlight w:val="none"/>
                <w:lang w:val="en-US" w:eastAsia="zh-CN"/>
              </w:rPr>
              <w:t>的检测报告</w:t>
            </w:r>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该报告的监测点位位于本项目所在地东北100m处（见附图10）。</w:t>
            </w:r>
            <w:r>
              <w:rPr>
                <w:rFonts w:hint="default" w:ascii="Times New Roman" w:hAnsi="Times New Roman" w:eastAsia="宋体" w:cs="Times New Roman"/>
                <w:color w:val="auto"/>
                <w:sz w:val="24"/>
                <w:szCs w:val="24"/>
                <w:highlight w:val="none"/>
                <w:lang w:val="en-US" w:eastAsia="zh-CN"/>
              </w:rPr>
              <w:t>监测的数据如下表3</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p>
          <w:p w14:paraId="487F8DAB">
            <w:pPr>
              <w:spacing w:line="360" w:lineRule="auto"/>
              <w:jc w:val="center"/>
              <w:rPr>
                <w:rFonts w:hint="default" w:ascii="Times New Roman" w:hAnsi="Times New Roman" w:cs="Times New Roman"/>
                <w:b/>
                <w:bCs/>
                <w:color w:val="000000"/>
                <w:kern w:val="0"/>
                <w:sz w:val="24"/>
                <w:szCs w:val="20"/>
                <w:highlight w:val="none"/>
              </w:rPr>
            </w:pPr>
            <w:r>
              <w:rPr>
                <w:rFonts w:hint="default" w:ascii="Times New Roman" w:hAnsi="Times New Roman" w:cs="Times New Roman"/>
                <w:b/>
                <w:bCs/>
                <w:color w:val="000000"/>
                <w:kern w:val="0"/>
                <w:sz w:val="24"/>
                <w:szCs w:val="20"/>
                <w:highlight w:val="none"/>
              </w:rPr>
              <w:t>表3</w:t>
            </w:r>
            <w:r>
              <w:rPr>
                <w:rFonts w:hint="eastAsia" w:ascii="Times New Roman" w:hAnsi="Times New Roman" w:cs="Times New Roman"/>
                <w:b/>
                <w:bCs/>
                <w:color w:val="000000"/>
                <w:kern w:val="0"/>
                <w:sz w:val="24"/>
                <w:szCs w:val="20"/>
                <w:highlight w:val="none"/>
                <w:lang w:val="en-US" w:eastAsia="zh-CN"/>
              </w:rPr>
              <w:t>.2-3</w:t>
            </w:r>
            <w:r>
              <w:rPr>
                <w:rFonts w:hint="default" w:ascii="Times New Roman" w:hAnsi="Times New Roman" w:cs="Times New Roman"/>
                <w:b/>
                <w:bCs/>
                <w:color w:val="000000"/>
                <w:kern w:val="0"/>
                <w:sz w:val="24"/>
                <w:szCs w:val="20"/>
                <w:highlight w:val="none"/>
              </w:rPr>
              <w:t xml:space="preserve"> 厂界环境空气质量</w:t>
            </w:r>
            <w:r>
              <w:rPr>
                <w:rFonts w:hint="eastAsia" w:ascii="Times New Roman" w:hAnsi="Times New Roman" w:cs="Times New Roman"/>
                <w:b/>
                <w:bCs/>
                <w:color w:val="000000"/>
                <w:kern w:val="0"/>
                <w:sz w:val="24"/>
                <w:szCs w:val="20"/>
                <w:highlight w:val="none"/>
                <w:lang w:eastAsia="zh-CN"/>
              </w:rPr>
              <w:t>（</w:t>
            </w:r>
            <w:r>
              <w:rPr>
                <w:rFonts w:hint="eastAsia" w:ascii="Times New Roman" w:hAnsi="Times New Roman" w:cs="Times New Roman"/>
                <w:b/>
                <w:bCs/>
                <w:color w:val="000000"/>
                <w:kern w:val="0"/>
                <w:sz w:val="24"/>
                <w:szCs w:val="20"/>
                <w:highlight w:val="none"/>
                <w:lang w:val="en-US" w:eastAsia="zh-CN"/>
              </w:rPr>
              <w:t>非甲烷总烃</w:t>
            </w:r>
            <w:r>
              <w:rPr>
                <w:rFonts w:hint="eastAsia" w:ascii="Times New Roman" w:hAnsi="Times New Roman" w:cs="Times New Roman"/>
                <w:b/>
                <w:bCs/>
                <w:color w:val="000000"/>
                <w:kern w:val="0"/>
                <w:sz w:val="24"/>
                <w:szCs w:val="20"/>
                <w:highlight w:val="none"/>
                <w:lang w:eastAsia="zh-CN"/>
              </w:rPr>
              <w:t>）</w:t>
            </w:r>
            <w:r>
              <w:rPr>
                <w:rFonts w:hint="default" w:ascii="Times New Roman" w:hAnsi="Times New Roman" w:cs="Times New Roman"/>
                <w:b/>
                <w:bCs/>
                <w:color w:val="000000"/>
                <w:kern w:val="0"/>
                <w:sz w:val="24"/>
                <w:szCs w:val="20"/>
                <w:highlight w:val="none"/>
              </w:rPr>
              <w:t>现状监测结果</w:t>
            </w:r>
          </w:p>
          <w:tbl>
            <w:tblPr>
              <w:tblStyle w:val="17"/>
              <w:tblW w:w="4998" w:type="pct"/>
              <w:tblInd w:w="5"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215"/>
              <w:gridCol w:w="1511"/>
              <w:gridCol w:w="1182"/>
              <w:gridCol w:w="718"/>
              <w:gridCol w:w="693"/>
              <w:gridCol w:w="737"/>
              <w:gridCol w:w="746"/>
              <w:gridCol w:w="1370"/>
            </w:tblGrid>
            <w:tr w14:paraId="1F327A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3" w:type="pct"/>
                  <w:vMerge w:val="restart"/>
                  <w:noWrap/>
                  <w:vAlign w:val="center"/>
                </w:tcPr>
                <w:p w14:paraId="2D80DEA6">
                  <w:pPr>
                    <w:widowControl/>
                    <w:spacing w:line="240" w:lineRule="auto"/>
                    <w:ind w:firstLine="0" w:firstLineChars="0"/>
                    <w:jc w:val="center"/>
                    <w:rPr>
                      <w:rFonts w:hint="default" w:ascii="Times New Roman" w:hAnsi="Times New Roman" w:cs="Times New Roman"/>
                      <w:color w:val="000000"/>
                      <w:sz w:val="21"/>
                      <w:szCs w:val="24"/>
                      <w:highlight w:val="none"/>
                      <w:lang w:bidi="ar"/>
                    </w:rPr>
                  </w:pPr>
                  <w:r>
                    <w:rPr>
                      <w:rFonts w:hint="default" w:ascii="Times New Roman" w:hAnsi="Times New Roman" w:cs="Times New Roman"/>
                      <w:color w:val="000000"/>
                      <w:sz w:val="21"/>
                      <w:szCs w:val="24"/>
                      <w:highlight w:val="none"/>
                      <w:lang w:bidi="ar"/>
                    </w:rPr>
                    <w:t>检测项目</w:t>
                  </w:r>
                </w:p>
              </w:tc>
              <w:tc>
                <w:tcPr>
                  <w:tcW w:w="924" w:type="pct"/>
                  <w:vMerge w:val="restart"/>
                  <w:noWrap/>
                  <w:vAlign w:val="center"/>
                </w:tcPr>
                <w:p w14:paraId="46CB3718">
                  <w:pPr>
                    <w:widowControl/>
                    <w:spacing w:line="240" w:lineRule="auto"/>
                    <w:ind w:firstLine="0" w:firstLineChars="0"/>
                    <w:jc w:val="center"/>
                    <w:rPr>
                      <w:rFonts w:hint="default"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采样点位</w:t>
                  </w:r>
                </w:p>
              </w:tc>
              <w:tc>
                <w:tcPr>
                  <w:tcW w:w="723" w:type="pct"/>
                  <w:vMerge w:val="restart"/>
                  <w:noWrap/>
                  <w:vAlign w:val="center"/>
                </w:tcPr>
                <w:p w14:paraId="76B732EB">
                  <w:pPr>
                    <w:widowControl/>
                    <w:spacing w:line="240" w:lineRule="auto"/>
                    <w:ind w:firstLine="0" w:firstLineChars="0"/>
                    <w:jc w:val="center"/>
                    <w:rPr>
                      <w:rFonts w:hint="default"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采样日期</w:t>
                  </w:r>
                </w:p>
              </w:tc>
              <w:tc>
                <w:tcPr>
                  <w:tcW w:w="2608" w:type="pct"/>
                  <w:gridSpan w:val="5"/>
                  <w:noWrap/>
                  <w:vAlign w:val="center"/>
                </w:tcPr>
                <w:p w14:paraId="71B565B7">
                  <w:pPr>
                    <w:widowControl/>
                    <w:spacing w:line="240" w:lineRule="auto"/>
                    <w:ind w:firstLine="0" w:firstLineChars="0"/>
                    <w:jc w:val="center"/>
                    <w:rPr>
                      <w:rFonts w:hint="default"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检测结果mg/m</w:t>
                  </w:r>
                  <w:r>
                    <w:rPr>
                      <w:rFonts w:hint="default" w:ascii="Times New Roman" w:hAnsi="Times New Roman" w:cs="Times New Roman"/>
                      <w:color w:val="000000"/>
                      <w:sz w:val="21"/>
                      <w:szCs w:val="24"/>
                      <w:highlight w:val="none"/>
                      <w:vertAlign w:val="superscript"/>
                      <w:lang w:bidi="ar"/>
                    </w:rPr>
                    <w:t>3</w:t>
                  </w:r>
                </w:p>
              </w:tc>
            </w:tr>
            <w:tr w14:paraId="5480779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3" w:type="pct"/>
                  <w:vMerge w:val="continue"/>
                  <w:noWrap/>
                  <w:vAlign w:val="center"/>
                </w:tcPr>
                <w:p w14:paraId="09587413">
                  <w:pPr>
                    <w:widowControl w:val="0"/>
                    <w:spacing w:line="240" w:lineRule="auto"/>
                    <w:ind w:firstLine="0" w:firstLineChars="0"/>
                    <w:jc w:val="center"/>
                    <w:rPr>
                      <w:rFonts w:hint="eastAsia" w:ascii="Times New Roman" w:hAnsi="Times New Roman" w:cs="Times New Roman"/>
                      <w:color w:val="000000"/>
                      <w:sz w:val="21"/>
                      <w:szCs w:val="24"/>
                      <w:highlight w:val="none"/>
                    </w:rPr>
                  </w:pPr>
                </w:p>
              </w:tc>
              <w:tc>
                <w:tcPr>
                  <w:tcW w:w="924" w:type="pct"/>
                  <w:vMerge w:val="continue"/>
                  <w:noWrap/>
                  <w:vAlign w:val="center"/>
                </w:tcPr>
                <w:p w14:paraId="6A809644">
                  <w:pPr>
                    <w:widowControl w:val="0"/>
                    <w:spacing w:line="240" w:lineRule="auto"/>
                    <w:ind w:firstLine="0" w:firstLineChars="0"/>
                    <w:jc w:val="center"/>
                    <w:rPr>
                      <w:rFonts w:hint="eastAsia" w:ascii="Times New Roman" w:hAnsi="Times New Roman" w:cs="Times New Roman"/>
                      <w:color w:val="000000"/>
                      <w:sz w:val="21"/>
                      <w:szCs w:val="24"/>
                      <w:highlight w:val="none"/>
                    </w:rPr>
                  </w:pPr>
                </w:p>
              </w:tc>
              <w:tc>
                <w:tcPr>
                  <w:tcW w:w="723" w:type="pct"/>
                  <w:vMerge w:val="continue"/>
                  <w:noWrap/>
                  <w:vAlign w:val="center"/>
                </w:tcPr>
                <w:p w14:paraId="3D81FDCB">
                  <w:pPr>
                    <w:widowControl w:val="0"/>
                    <w:spacing w:line="240" w:lineRule="auto"/>
                    <w:ind w:firstLine="0" w:firstLineChars="0"/>
                    <w:jc w:val="center"/>
                    <w:rPr>
                      <w:rFonts w:hint="eastAsia" w:ascii="Times New Roman" w:hAnsi="Times New Roman" w:cs="Times New Roman"/>
                      <w:color w:val="000000"/>
                      <w:sz w:val="21"/>
                      <w:szCs w:val="24"/>
                      <w:highlight w:val="none"/>
                    </w:rPr>
                  </w:pPr>
                </w:p>
              </w:tc>
              <w:tc>
                <w:tcPr>
                  <w:tcW w:w="439" w:type="pct"/>
                  <w:noWrap/>
                  <w:vAlign w:val="center"/>
                </w:tcPr>
                <w:p w14:paraId="77C3A49B">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1</w:t>
                  </w:r>
                </w:p>
              </w:tc>
              <w:tc>
                <w:tcPr>
                  <w:tcW w:w="424" w:type="pct"/>
                  <w:noWrap/>
                  <w:vAlign w:val="center"/>
                </w:tcPr>
                <w:p w14:paraId="5F725D41">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2</w:t>
                  </w:r>
                </w:p>
              </w:tc>
              <w:tc>
                <w:tcPr>
                  <w:tcW w:w="450" w:type="pct"/>
                  <w:noWrap/>
                  <w:vAlign w:val="center"/>
                </w:tcPr>
                <w:p w14:paraId="29962791">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3</w:t>
                  </w:r>
                </w:p>
              </w:tc>
              <w:tc>
                <w:tcPr>
                  <w:tcW w:w="456" w:type="pct"/>
                  <w:noWrap/>
                  <w:vAlign w:val="center"/>
                </w:tcPr>
                <w:p w14:paraId="53316FBA">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4</w:t>
                  </w:r>
                </w:p>
              </w:tc>
              <w:tc>
                <w:tcPr>
                  <w:tcW w:w="838" w:type="pct"/>
                  <w:noWrap/>
                  <w:vAlign w:val="center"/>
                </w:tcPr>
                <w:p w14:paraId="4EABCE6D">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eastAsia" w:ascii="Times New Roman" w:hAnsi="Times New Roman" w:cs="Times New Roman"/>
                      <w:color w:val="000000"/>
                      <w:sz w:val="21"/>
                      <w:szCs w:val="24"/>
                      <w:highlight w:val="none"/>
                      <w:lang w:bidi="ar"/>
                    </w:rPr>
                    <w:t>浓度最高值</w:t>
                  </w:r>
                </w:p>
              </w:tc>
            </w:tr>
            <w:tr w14:paraId="1B08FA8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3" w:type="pct"/>
                  <w:vMerge w:val="restart"/>
                  <w:noWrap/>
                  <w:vAlign w:val="center"/>
                </w:tcPr>
                <w:p w14:paraId="3B88BE9D">
                  <w:pPr>
                    <w:widowControl/>
                    <w:spacing w:line="240" w:lineRule="auto"/>
                    <w:ind w:firstLine="0" w:firstLineChars="0"/>
                    <w:jc w:val="center"/>
                    <w:rPr>
                      <w:rFonts w:hint="eastAsia" w:ascii="Times New Roman" w:hAnsi="Times New Roman" w:eastAsia="宋体" w:cs="Times New Roman"/>
                      <w:color w:val="000000"/>
                      <w:sz w:val="21"/>
                      <w:szCs w:val="24"/>
                      <w:highlight w:val="none"/>
                      <w:lang w:val="en-US" w:eastAsia="zh-CN"/>
                    </w:rPr>
                  </w:pPr>
                  <w:r>
                    <w:rPr>
                      <w:rFonts w:hint="eastAsia" w:ascii="Times New Roman" w:hAnsi="Times New Roman" w:cs="Times New Roman"/>
                      <w:color w:val="000000"/>
                      <w:sz w:val="21"/>
                      <w:szCs w:val="24"/>
                      <w:highlight w:val="none"/>
                      <w:lang w:val="en-US" w:eastAsia="zh-CN" w:bidi="ar"/>
                    </w:rPr>
                    <w:t>非甲烷总烃</w:t>
                  </w:r>
                </w:p>
              </w:tc>
              <w:tc>
                <w:tcPr>
                  <w:tcW w:w="924" w:type="pct"/>
                  <w:vMerge w:val="restart"/>
                  <w:noWrap/>
                  <w:vAlign w:val="center"/>
                </w:tcPr>
                <w:p w14:paraId="660244CD">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r>
                    <w:rPr>
                      <w:rFonts w:hint="eastAsia" w:ascii="Times New Roman" w:hAnsi="Times New Roman" w:cs="Times New Roman"/>
                      <w:color w:val="000000"/>
                      <w:sz w:val="21"/>
                      <w:szCs w:val="24"/>
                      <w:highlight w:val="none"/>
                      <w:lang w:val="en-US" w:eastAsia="zh-CN"/>
                    </w:rPr>
                    <w:t>Q1项目所在地东北100m处</w:t>
                  </w:r>
                </w:p>
              </w:tc>
              <w:tc>
                <w:tcPr>
                  <w:tcW w:w="723" w:type="pct"/>
                  <w:noWrap/>
                  <w:vAlign w:val="center"/>
                </w:tcPr>
                <w:p w14:paraId="23F6EF67">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202</w:t>
                  </w:r>
                  <w:r>
                    <w:rPr>
                      <w:rFonts w:hint="eastAsia" w:ascii="Times New Roman" w:hAnsi="Times New Roman" w:cs="Times New Roman"/>
                      <w:color w:val="000000"/>
                      <w:sz w:val="21"/>
                      <w:szCs w:val="24"/>
                      <w:highlight w:val="none"/>
                      <w:lang w:val="en-US" w:eastAsia="zh-CN" w:bidi="ar"/>
                    </w:rPr>
                    <w:t>4</w:t>
                  </w:r>
                  <w:r>
                    <w:rPr>
                      <w:rFonts w:hint="eastAsia" w:ascii="Times New Roman" w:hAnsi="Times New Roman" w:cs="Times New Roman"/>
                      <w:color w:val="000000"/>
                      <w:sz w:val="21"/>
                      <w:szCs w:val="24"/>
                      <w:highlight w:val="none"/>
                      <w:lang w:bidi="ar"/>
                    </w:rPr>
                    <w:t>.</w:t>
                  </w:r>
                  <w:r>
                    <w:rPr>
                      <w:rFonts w:hint="default" w:ascii="Times New Roman" w:hAnsi="Times New Roman" w:cs="Times New Roman"/>
                      <w:color w:val="000000"/>
                      <w:sz w:val="21"/>
                      <w:szCs w:val="24"/>
                      <w:highlight w:val="none"/>
                      <w:lang w:bidi="ar"/>
                    </w:rPr>
                    <w:t>0</w:t>
                  </w:r>
                  <w:r>
                    <w:rPr>
                      <w:rFonts w:hint="eastAsia" w:ascii="Times New Roman" w:hAnsi="Times New Roman" w:cs="Times New Roman"/>
                      <w:color w:val="000000"/>
                      <w:sz w:val="21"/>
                      <w:szCs w:val="24"/>
                      <w:highlight w:val="none"/>
                      <w:lang w:val="en-US" w:eastAsia="zh-CN" w:bidi="ar"/>
                    </w:rPr>
                    <w:t>5</w:t>
                  </w:r>
                  <w:r>
                    <w:rPr>
                      <w:rFonts w:hint="eastAsia" w:ascii="Times New Roman" w:hAnsi="Times New Roman" w:cs="Times New Roman"/>
                      <w:color w:val="000000"/>
                      <w:sz w:val="21"/>
                      <w:szCs w:val="24"/>
                      <w:highlight w:val="none"/>
                      <w:lang w:bidi="ar"/>
                    </w:rPr>
                    <w:t>.</w:t>
                  </w:r>
                  <w:r>
                    <w:rPr>
                      <w:rFonts w:hint="eastAsia" w:ascii="Times New Roman" w:hAnsi="Times New Roman" w:cs="Times New Roman"/>
                      <w:color w:val="000000"/>
                      <w:sz w:val="21"/>
                      <w:szCs w:val="24"/>
                      <w:highlight w:val="none"/>
                      <w:lang w:val="en-US" w:eastAsia="zh-CN" w:bidi="ar"/>
                    </w:rPr>
                    <w:t>13</w:t>
                  </w:r>
                </w:p>
              </w:tc>
              <w:tc>
                <w:tcPr>
                  <w:tcW w:w="439" w:type="pct"/>
                  <w:noWrap/>
                  <w:vAlign w:val="center"/>
                </w:tcPr>
                <w:p w14:paraId="56D3349F">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24" w:type="pct"/>
                  <w:noWrap/>
                  <w:vAlign w:val="center"/>
                </w:tcPr>
                <w:p w14:paraId="1187005A">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50" w:type="pct"/>
                  <w:noWrap/>
                  <w:vAlign w:val="center"/>
                </w:tcPr>
                <w:p w14:paraId="17F75C86">
                  <w:pPr>
                    <w:widowControl/>
                    <w:spacing w:line="240" w:lineRule="auto"/>
                    <w:ind w:firstLine="0" w:firstLineChars="0"/>
                    <w:jc w:val="center"/>
                    <w:rPr>
                      <w:rFonts w:hint="eastAsia" w:ascii="Times New Roman" w:hAnsi="Times New Roman" w:eastAsia="宋体" w:cs="Times New Roman"/>
                      <w:color w:val="000000"/>
                      <w:sz w:val="21"/>
                      <w:szCs w:val="24"/>
                      <w:highlight w:val="none"/>
                      <w:lang w:eastAsia="zh-CN"/>
                    </w:rPr>
                  </w:pPr>
                </w:p>
              </w:tc>
              <w:tc>
                <w:tcPr>
                  <w:tcW w:w="456" w:type="pct"/>
                  <w:noWrap/>
                  <w:vAlign w:val="center"/>
                </w:tcPr>
                <w:p w14:paraId="71667828">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838" w:type="pct"/>
                  <w:noWrap/>
                  <w:vAlign w:val="center"/>
                </w:tcPr>
                <w:p w14:paraId="1E0F7D60">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r>
                    <w:rPr>
                      <w:rFonts w:hint="default" w:ascii="Times New Roman" w:hAnsi="Times New Roman" w:cs="Times New Roman"/>
                      <w:color w:val="000000"/>
                      <w:sz w:val="21"/>
                      <w:szCs w:val="24"/>
                      <w:highlight w:val="none"/>
                      <w:lang w:bidi="ar"/>
                    </w:rPr>
                    <w:t>0</w:t>
                  </w:r>
                  <w:r>
                    <w:rPr>
                      <w:rFonts w:hint="eastAsia" w:ascii="Times New Roman" w:hAnsi="Times New Roman" w:cs="Times New Roman"/>
                      <w:color w:val="000000"/>
                      <w:sz w:val="21"/>
                      <w:szCs w:val="24"/>
                      <w:highlight w:val="none"/>
                      <w:lang w:bidi="ar"/>
                    </w:rPr>
                    <w:t>.</w:t>
                  </w:r>
                  <w:r>
                    <w:rPr>
                      <w:rFonts w:hint="eastAsia" w:ascii="Times New Roman" w:hAnsi="Times New Roman" w:cs="Times New Roman"/>
                      <w:color w:val="000000"/>
                      <w:sz w:val="21"/>
                      <w:szCs w:val="24"/>
                      <w:highlight w:val="none"/>
                      <w:lang w:val="en-US" w:eastAsia="zh-CN" w:bidi="ar"/>
                    </w:rPr>
                    <w:t>57</w:t>
                  </w:r>
                </w:p>
              </w:tc>
            </w:tr>
            <w:tr w14:paraId="3EAA3EE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3" w:type="pct"/>
                  <w:vMerge w:val="continue"/>
                  <w:noWrap/>
                  <w:vAlign w:val="center"/>
                </w:tcPr>
                <w:p w14:paraId="1912A3E5">
                  <w:pPr>
                    <w:widowControl/>
                    <w:spacing w:line="240" w:lineRule="auto"/>
                    <w:ind w:firstLine="0" w:firstLineChars="0"/>
                    <w:jc w:val="center"/>
                    <w:rPr>
                      <w:rFonts w:hint="default" w:ascii="Times New Roman" w:hAnsi="Times New Roman" w:cs="Times New Roman"/>
                      <w:color w:val="000000"/>
                      <w:sz w:val="21"/>
                      <w:szCs w:val="24"/>
                      <w:highlight w:val="none"/>
                      <w:lang w:val="en-US"/>
                    </w:rPr>
                  </w:pPr>
                </w:p>
              </w:tc>
              <w:tc>
                <w:tcPr>
                  <w:tcW w:w="924" w:type="pct"/>
                  <w:vMerge w:val="continue"/>
                  <w:noWrap/>
                  <w:vAlign w:val="center"/>
                </w:tcPr>
                <w:p w14:paraId="794AF4F0">
                  <w:pPr>
                    <w:widowControl/>
                    <w:spacing w:line="240" w:lineRule="auto"/>
                    <w:ind w:firstLine="0" w:firstLineChars="0"/>
                    <w:jc w:val="center"/>
                    <w:rPr>
                      <w:rFonts w:hint="eastAsia" w:ascii="Times New Roman" w:hAnsi="Times New Roman" w:cs="Times New Roman"/>
                      <w:color w:val="000000"/>
                      <w:sz w:val="21"/>
                      <w:szCs w:val="24"/>
                      <w:highlight w:val="none"/>
                    </w:rPr>
                  </w:pPr>
                </w:p>
              </w:tc>
              <w:tc>
                <w:tcPr>
                  <w:tcW w:w="723" w:type="pct"/>
                  <w:noWrap/>
                  <w:vAlign w:val="center"/>
                </w:tcPr>
                <w:p w14:paraId="478F00BF">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202</w:t>
                  </w:r>
                  <w:r>
                    <w:rPr>
                      <w:rFonts w:hint="eastAsia" w:ascii="Times New Roman" w:hAnsi="Times New Roman" w:cs="Times New Roman"/>
                      <w:color w:val="000000"/>
                      <w:sz w:val="21"/>
                      <w:szCs w:val="24"/>
                      <w:highlight w:val="none"/>
                      <w:lang w:val="en-US" w:eastAsia="zh-CN" w:bidi="ar"/>
                    </w:rPr>
                    <w:t>4</w:t>
                  </w:r>
                  <w:r>
                    <w:rPr>
                      <w:rFonts w:hint="eastAsia" w:ascii="Times New Roman" w:hAnsi="Times New Roman" w:cs="Times New Roman"/>
                      <w:color w:val="000000"/>
                      <w:sz w:val="21"/>
                      <w:szCs w:val="24"/>
                      <w:highlight w:val="none"/>
                      <w:lang w:bidi="ar"/>
                    </w:rPr>
                    <w:t>.</w:t>
                  </w:r>
                  <w:r>
                    <w:rPr>
                      <w:rFonts w:hint="default" w:ascii="Times New Roman" w:hAnsi="Times New Roman" w:cs="Times New Roman"/>
                      <w:color w:val="000000"/>
                      <w:sz w:val="21"/>
                      <w:szCs w:val="24"/>
                      <w:highlight w:val="none"/>
                      <w:lang w:bidi="ar"/>
                    </w:rPr>
                    <w:t>0</w:t>
                  </w:r>
                  <w:r>
                    <w:rPr>
                      <w:rFonts w:hint="eastAsia" w:ascii="Times New Roman" w:hAnsi="Times New Roman" w:cs="Times New Roman"/>
                      <w:color w:val="000000"/>
                      <w:sz w:val="21"/>
                      <w:szCs w:val="24"/>
                      <w:highlight w:val="none"/>
                      <w:lang w:val="en-US" w:eastAsia="zh-CN" w:bidi="ar"/>
                    </w:rPr>
                    <w:t>5</w:t>
                  </w:r>
                  <w:r>
                    <w:rPr>
                      <w:rFonts w:hint="eastAsia" w:ascii="Times New Roman" w:hAnsi="Times New Roman" w:cs="Times New Roman"/>
                      <w:color w:val="000000"/>
                      <w:sz w:val="21"/>
                      <w:szCs w:val="24"/>
                      <w:highlight w:val="none"/>
                      <w:lang w:bidi="ar"/>
                    </w:rPr>
                    <w:t>.</w:t>
                  </w:r>
                  <w:r>
                    <w:rPr>
                      <w:rFonts w:hint="eastAsia" w:ascii="Times New Roman" w:hAnsi="Times New Roman" w:cs="Times New Roman"/>
                      <w:color w:val="000000"/>
                      <w:sz w:val="21"/>
                      <w:szCs w:val="24"/>
                      <w:highlight w:val="none"/>
                      <w:lang w:val="en-US" w:eastAsia="zh-CN" w:bidi="ar"/>
                    </w:rPr>
                    <w:t>14</w:t>
                  </w:r>
                </w:p>
              </w:tc>
              <w:tc>
                <w:tcPr>
                  <w:tcW w:w="439" w:type="pct"/>
                  <w:noWrap/>
                  <w:vAlign w:val="center"/>
                </w:tcPr>
                <w:p w14:paraId="363B7822">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24" w:type="pct"/>
                  <w:noWrap/>
                  <w:vAlign w:val="center"/>
                </w:tcPr>
                <w:p w14:paraId="0A795E9D">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50" w:type="pct"/>
                  <w:noWrap/>
                  <w:vAlign w:val="center"/>
                </w:tcPr>
                <w:p w14:paraId="6CDD49B9">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56" w:type="pct"/>
                  <w:noWrap/>
                  <w:vAlign w:val="center"/>
                </w:tcPr>
                <w:p w14:paraId="5CA7DF29">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838" w:type="pct"/>
                  <w:noWrap/>
                  <w:vAlign w:val="center"/>
                </w:tcPr>
                <w:p w14:paraId="7A927794">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r>
                    <w:rPr>
                      <w:rFonts w:hint="default" w:ascii="Times New Roman" w:hAnsi="Times New Roman" w:cs="Times New Roman"/>
                      <w:color w:val="000000"/>
                      <w:sz w:val="21"/>
                      <w:szCs w:val="24"/>
                      <w:highlight w:val="none"/>
                      <w:lang w:bidi="ar"/>
                    </w:rPr>
                    <w:t>0</w:t>
                  </w:r>
                  <w:r>
                    <w:rPr>
                      <w:rFonts w:hint="eastAsia" w:ascii="Times New Roman" w:hAnsi="Times New Roman" w:cs="Times New Roman"/>
                      <w:color w:val="000000"/>
                      <w:sz w:val="21"/>
                      <w:szCs w:val="24"/>
                      <w:highlight w:val="none"/>
                      <w:lang w:bidi="ar"/>
                    </w:rPr>
                    <w:t>.</w:t>
                  </w:r>
                  <w:r>
                    <w:rPr>
                      <w:rFonts w:hint="eastAsia" w:ascii="Times New Roman" w:hAnsi="Times New Roman" w:cs="Times New Roman"/>
                      <w:color w:val="000000"/>
                      <w:sz w:val="21"/>
                      <w:szCs w:val="24"/>
                      <w:highlight w:val="none"/>
                      <w:lang w:val="en-US" w:eastAsia="zh-CN" w:bidi="ar"/>
                    </w:rPr>
                    <w:t>50</w:t>
                  </w:r>
                </w:p>
              </w:tc>
            </w:tr>
            <w:tr w14:paraId="706B2B2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3" w:type="pct"/>
                  <w:vMerge w:val="continue"/>
                  <w:noWrap/>
                  <w:vAlign w:val="center"/>
                </w:tcPr>
                <w:p w14:paraId="0AE79735">
                  <w:pPr>
                    <w:widowControl/>
                    <w:spacing w:line="240" w:lineRule="auto"/>
                    <w:ind w:firstLine="0" w:firstLineChars="0"/>
                    <w:jc w:val="center"/>
                    <w:rPr>
                      <w:rFonts w:hint="default" w:ascii="Times New Roman" w:hAnsi="Times New Roman" w:cs="Times New Roman"/>
                      <w:color w:val="000000"/>
                      <w:sz w:val="21"/>
                      <w:szCs w:val="24"/>
                      <w:highlight w:val="none"/>
                      <w:lang w:val="en-US"/>
                    </w:rPr>
                  </w:pPr>
                </w:p>
              </w:tc>
              <w:tc>
                <w:tcPr>
                  <w:tcW w:w="924" w:type="pct"/>
                  <w:vMerge w:val="continue"/>
                  <w:noWrap/>
                  <w:vAlign w:val="center"/>
                </w:tcPr>
                <w:p w14:paraId="2648397C">
                  <w:pPr>
                    <w:widowControl/>
                    <w:spacing w:line="240" w:lineRule="auto"/>
                    <w:ind w:firstLine="0" w:firstLineChars="0"/>
                    <w:jc w:val="center"/>
                    <w:rPr>
                      <w:rFonts w:hint="eastAsia" w:ascii="Times New Roman" w:hAnsi="Times New Roman" w:cs="Times New Roman"/>
                      <w:color w:val="000000"/>
                      <w:sz w:val="21"/>
                      <w:szCs w:val="24"/>
                      <w:highlight w:val="none"/>
                    </w:rPr>
                  </w:pPr>
                </w:p>
              </w:tc>
              <w:tc>
                <w:tcPr>
                  <w:tcW w:w="723" w:type="pct"/>
                  <w:noWrap/>
                  <w:vAlign w:val="center"/>
                </w:tcPr>
                <w:p w14:paraId="71AD2930">
                  <w:pPr>
                    <w:widowControl/>
                    <w:spacing w:line="240" w:lineRule="auto"/>
                    <w:ind w:firstLine="0" w:firstLineChars="0"/>
                    <w:jc w:val="center"/>
                    <w:rPr>
                      <w:rFonts w:hint="eastAsia" w:ascii="Times New Roman" w:hAnsi="Times New Roman" w:cs="Times New Roman"/>
                      <w:color w:val="000000"/>
                      <w:sz w:val="21"/>
                      <w:szCs w:val="24"/>
                      <w:highlight w:val="none"/>
                    </w:rPr>
                  </w:pPr>
                  <w:r>
                    <w:rPr>
                      <w:rFonts w:hint="default" w:ascii="Times New Roman" w:hAnsi="Times New Roman" w:cs="Times New Roman"/>
                      <w:color w:val="000000"/>
                      <w:sz w:val="21"/>
                      <w:szCs w:val="24"/>
                      <w:highlight w:val="none"/>
                      <w:lang w:bidi="ar"/>
                    </w:rPr>
                    <w:t>202</w:t>
                  </w:r>
                  <w:r>
                    <w:rPr>
                      <w:rFonts w:hint="eastAsia" w:ascii="Times New Roman" w:hAnsi="Times New Roman" w:cs="Times New Roman"/>
                      <w:color w:val="000000"/>
                      <w:sz w:val="21"/>
                      <w:szCs w:val="24"/>
                      <w:highlight w:val="none"/>
                      <w:lang w:val="en-US" w:eastAsia="zh-CN" w:bidi="ar"/>
                    </w:rPr>
                    <w:t>4</w:t>
                  </w:r>
                  <w:r>
                    <w:rPr>
                      <w:rFonts w:hint="eastAsia" w:ascii="Times New Roman" w:hAnsi="Times New Roman" w:cs="Times New Roman"/>
                      <w:color w:val="000000"/>
                      <w:sz w:val="21"/>
                      <w:szCs w:val="24"/>
                      <w:highlight w:val="none"/>
                      <w:lang w:bidi="ar"/>
                    </w:rPr>
                    <w:t>.</w:t>
                  </w:r>
                  <w:r>
                    <w:rPr>
                      <w:rFonts w:hint="default" w:ascii="Times New Roman" w:hAnsi="Times New Roman" w:cs="Times New Roman"/>
                      <w:color w:val="000000"/>
                      <w:sz w:val="21"/>
                      <w:szCs w:val="24"/>
                      <w:highlight w:val="none"/>
                      <w:lang w:bidi="ar"/>
                    </w:rPr>
                    <w:t>0</w:t>
                  </w:r>
                  <w:r>
                    <w:rPr>
                      <w:rFonts w:hint="eastAsia" w:ascii="Times New Roman" w:hAnsi="Times New Roman" w:cs="Times New Roman"/>
                      <w:color w:val="000000"/>
                      <w:sz w:val="21"/>
                      <w:szCs w:val="24"/>
                      <w:highlight w:val="none"/>
                      <w:lang w:val="en-US" w:eastAsia="zh-CN" w:bidi="ar"/>
                    </w:rPr>
                    <w:t>5</w:t>
                  </w:r>
                  <w:r>
                    <w:rPr>
                      <w:rFonts w:hint="eastAsia" w:ascii="Times New Roman" w:hAnsi="Times New Roman" w:cs="Times New Roman"/>
                      <w:color w:val="000000"/>
                      <w:sz w:val="21"/>
                      <w:szCs w:val="24"/>
                      <w:highlight w:val="none"/>
                      <w:lang w:bidi="ar"/>
                    </w:rPr>
                    <w:t>.</w:t>
                  </w:r>
                  <w:r>
                    <w:rPr>
                      <w:rFonts w:hint="eastAsia" w:ascii="Times New Roman" w:hAnsi="Times New Roman" w:cs="Times New Roman"/>
                      <w:color w:val="000000"/>
                      <w:sz w:val="21"/>
                      <w:szCs w:val="24"/>
                      <w:highlight w:val="none"/>
                      <w:lang w:val="en-US" w:eastAsia="zh-CN" w:bidi="ar"/>
                    </w:rPr>
                    <w:t>15</w:t>
                  </w:r>
                </w:p>
              </w:tc>
              <w:tc>
                <w:tcPr>
                  <w:tcW w:w="439" w:type="pct"/>
                  <w:noWrap/>
                  <w:vAlign w:val="center"/>
                </w:tcPr>
                <w:p w14:paraId="354135A8">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24" w:type="pct"/>
                  <w:noWrap/>
                  <w:vAlign w:val="center"/>
                </w:tcPr>
                <w:p w14:paraId="44C8516B">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50" w:type="pct"/>
                  <w:noWrap/>
                  <w:vAlign w:val="center"/>
                </w:tcPr>
                <w:p w14:paraId="439AE825">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456" w:type="pct"/>
                  <w:noWrap/>
                  <w:vAlign w:val="center"/>
                </w:tcPr>
                <w:p w14:paraId="29DDADB1">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p>
              </w:tc>
              <w:tc>
                <w:tcPr>
                  <w:tcW w:w="838" w:type="pct"/>
                  <w:noWrap/>
                  <w:vAlign w:val="center"/>
                </w:tcPr>
                <w:p w14:paraId="0D0177C4">
                  <w:pPr>
                    <w:widowControl/>
                    <w:spacing w:line="240" w:lineRule="auto"/>
                    <w:ind w:firstLine="0" w:firstLineChars="0"/>
                    <w:jc w:val="center"/>
                    <w:rPr>
                      <w:rFonts w:hint="default" w:ascii="Times New Roman" w:hAnsi="Times New Roman" w:eastAsia="宋体" w:cs="Times New Roman"/>
                      <w:color w:val="000000"/>
                      <w:sz w:val="21"/>
                      <w:szCs w:val="24"/>
                      <w:highlight w:val="none"/>
                      <w:lang w:val="en-US" w:eastAsia="zh-CN"/>
                    </w:rPr>
                  </w:pPr>
                  <w:r>
                    <w:rPr>
                      <w:rFonts w:hint="default" w:ascii="Times New Roman" w:hAnsi="Times New Roman" w:cs="Times New Roman"/>
                      <w:color w:val="000000"/>
                      <w:sz w:val="21"/>
                      <w:szCs w:val="24"/>
                      <w:highlight w:val="none"/>
                      <w:lang w:bidi="ar"/>
                    </w:rPr>
                    <w:t>0</w:t>
                  </w:r>
                  <w:r>
                    <w:rPr>
                      <w:rFonts w:hint="eastAsia" w:ascii="Times New Roman" w:hAnsi="Times New Roman" w:cs="Times New Roman"/>
                      <w:color w:val="000000"/>
                      <w:sz w:val="21"/>
                      <w:szCs w:val="24"/>
                      <w:highlight w:val="none"/>
                      <w:lang w:bidi="ar"/>
                    </w:rPr>
                    <w:t>.</w:t>
                  </w:r>
                  <w:r>
                    <w:rPr>
                      <w:rFonts w:hint="eastAsia" w:ascii="Times New Roman" w:hAnsi="Times New Roman" w:cs="Times New Roman"/>
                      <w:color w:val="000000"/>
                      <w:sz w:val="21"/>
                      <w:szCs w:val="24"/>
                      <w:highlight w:val="none"/>
                      <w:lang w:val="en-US" w:eastAsia="zh-CN" w:bidi="ar"/>
                    </w:rPr>
                    <w:t>54</w:t>
                  </w:r>
                </w:p>
              </w:tc>
            </w:tr>
          </w:tbl>
          <w:p w14:paraId="2F8C9C2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根据上表检测结果可知，监测点非甲烷总烃监测最大小时浓度值为0.</w:t>
            </w:r>
            <w:r>
              <w:rPr>
                <w:rFonts w:hint="eastAsia" w:ascii="Times New Roman" w:hAnsi="Times New Roman" w:eastAsia="宋体" w:cs="Times New Roman"/>
                <w:sz w:val="24"/>
                <w:szCs w:val="24"/>
                <w:highlight w:val="none"/>
                <w:lang w:val="en-US" w:eastAsia="zh-CN"/>
              </w:rPr>
              <w:t>57</w:t>
            </w:r>
            <w:r>
              <w:rPr>
                <w:rFonts w:hint="default" w:ascii="Times New Roman" w:hAnsi="Times New Roman" w:eastAsia="宋体" w:cs="Times New Roman"/>
                <w:sz w:val="24"/>
                <w:szCs w:val="24"/>
                <w:highlight w:val="none"/>
                <w:lang w:val="en-US" w:eastAsia="zh-CN"/>
              </w:rPr>
              <w:t>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，符合《大气污染物综合排放标准详解》（</w:t>
            </w:r>
            <w:r>
              <w:rPr>
                <w:rFonts w:hint="eastAsia" w:ascii="Times New Roman" w:hAnsi="Times New Roman" w:eastAsia="宋体" w:cs="Times New Roman"/>
                <w:sz w:val="24"/>
                <w:szCs w:val="24"/>
                <w:highlight w:val="none"/>
                <w:lang w:val="en-US" w:eastAsia="zh-CN"/>
              </w:rPr>
              <w:t>GB 16297-1996</w:t>
            </w:r>
            <w:r>
              <w:rPr>
                <w:rFonts w:hint="default" w:ascii="Times New Roman" w:hAnsi="Times New Roman" w:eastAsia="宋体" w:cs="Times New Roman"/>
                <w:sz w:val="24"/>
                <w:szCs w:val="24"/>
                <w:highlight w:val="none"/>
                <w:lang w:val="en-US" w:eastAsia="zh-CN"/>
              </w:rPr>
              <w:t>）中的相关规定</w:t>
            </w:r>
            <w:r>
              <w:rPr>
                <w:rFonts w:hint="eastAsia" w:ascii="Times New Roman" w:hAnsi="Times New Roman" w:eastAsia="宋体" w:cs="Times New Roman"/>
                <w:sz w:val="24"/>
                <w:szCs w:val="24"/>
                <w:highlight w:val="none"/>
                <w:lang w:val="en-US" w:eastAsia="zh-CN"/>
              </w:rPr>
              <w:t>。</w:t>
            </w:r>
          </w:p>
          <w:p w14:paraId="64001091">
            <w:pPr>
              <w:spacing w:line="360" w:lineRule="auto"/>
              <w:rPr>
                <w:rFonts w:hint="default" w:ascii="Times New Roman" w:hAnsi="Times New Roman" w:eastAsia="宋体" w:cs="Times New Roman"/>
                <w:b/>
                <w:bCs/>
                <w:color w:val="000000"/>
                <w:kern w:val="0"/>
                <w:sz w:val="28"/>
                <w:szCs w:val="21"/>
                <w:highlight w:val="none"/>
              </w:rPr>
            </w:pPr>
            <w:r>
              <w:rPr>
                <w:rFonts w:hint="default" w:ascii="Times New Roman" w:hAnsi="Times New Roman" w:eastAsia="宋体" w:cs="Times New Roman"/>
                <w:b/>
                <w:bCs/>
                <w:color w:val="000000"/>
                <w:kern w:val="0"/>
                <w:sz w:val="28"/>
                <w:szCs w:val="21"/>
                <w:highlight w:val="none"/>
              </w:rPr>
              <w:t>3.3</w:t>
            </w:r>
            <w:r>
              <w:rPr>
                <w:rFonts w:hint="eastAsia" w:ascii="Times New Roman" w:hAnsi="Times New Roman" w:eastAsia="宋体" w:cs="Times New Roman"/>
                <w:b/>
                <w:bCs/>
                <w:color w:val="000000"/>
                <w:kern w:val="0"/>
                <w:sz w:val="28"/>
                <w:szCs w:val="21"/>
                <w:highlight w:val="none"/>
                <w:lang w:val="en-US" w:eastAsia="zh-CN"/>
              </w:rPr>
              <w:t xml:space="preserve"> </w:t>
            </w:r>
            <w:r>
              <w:rPr>
                <w:rFonts w:hint="default" w:ascii="Times New Roman" w:hAnsi="Times New Roman" w:eastAsia="宋体" w:cs="Times New Roman"/>
                <w:b/>
                <w:bCs/>
                <w:color w:val="000000"/>
                <w:kern w:val="0"/>
                <w:sz w:val="28"/>
                <w:szCs w:val="21"/>
                <w:highlight w:val="none"/>
              </w:rPr>
              <w:t>声环境</w:t>
            </w:r>
          </w:p>
          <w:p w14:paraId="53A9CE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kern w:val="0"/>
                <w:sz w:val="24"/>
                <w:szCs w:val="20"/>
                <w:highlight w:val="none"/>
              </w:rPr>
            </w:pPr>
            <w:r>
              <w:rPr>
                <w:rFonts w:hint="default" w:ascii="Times New Roman" w:hAnsi="Times New Roman" w:eastAsia="宋体" w:cs="Times New Roman"/>
                <w:b/>
                <w:bCs/>
                <w:color w:val="000000"/>
                <w:kern w:val="0"/>
                <w:sz w:val="24"/>
                <w:szCs w:val="20"/>
                <w:highlight w:val="none"/>
              </w:rPr>
              <w:t>3.3.1声环境质量标准</w:t>
            </w:r>
          </w:p>
          <w:p w14:paraId="7F2F6EB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项目所在厂区噪声划分为3类声环境功能区，区域环境噪声执行《声环境质量标准》（</w:t>
            </w:r>
            <w:r>
              <w:rPr>
                <w:rFonts w:hint="eastAsia" w:ascii="Times New Roman" w:hAnsi="Times New Roman" w:eastAsia="宋体" w:cs="Times New Roman"/>
                <w:sz w:val="24"/>
                <w:szCs w:val="24"/>
                <w:highlight w:val="none"/>
                <w:lang w:val="en-US" w:eastAsia="zh-CN"/>
              </w:rPr>
              <w:t>GB 3096-2008</w:t>
            </w:r>
            <w:r>
              <w:rPr>
                <w:rFonts w:hint="default" w:ascii="Times New Roman" w:hAnsi="Times New Roman" w:eastAsia="宋体" w:cs="Times New Roman"/>
                <w:sz w:val="24"/>
                <w:szCs w:val="24"/>
                <w:highlight w:val="none"/>
                <w:lang w:val="en-US" w:eastAsia="zh-CN"/>
              </w:rPr>
              <w:t>）3类标准，即昼间≤65dB</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A</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，夜间≤55dB</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A</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。详见表3</w:t>
            </w:r>
            <w:r>
              <w:rPr>
                <w:rFonts w:hint="eastAsia" w:ascii="Times New Roman" w:hAnsi="Times New Roman" w:eastAsia="宋体" w:cs="Times New Roman"/>
                <w:sz w:val="24"/>
                <w:szCs w:val="24"/>
                <w:highlight w:val="none"/>
                <w:lang w:val="en-US" w:eastAsia="zh-CN"/>
              </w:rPr>
              <w:t>.3-1</w:t>
            </w:r>
            <w:r>
              <w:rPr>
                <w:rFonts w:hint="default" w:ascii="Times New Roman" w:hAnsi="Times New Roman" w:eastAsia="宋体" w:cs="Times New Roman"/>
                <w:sz w:val="24"/>
                <w:szCs w:val="24"/>
                <w:highlight w:val="none"/>
                <w:lang w:val="en-US" w:eastAsia="zh-CN"/>
              </w:rPr>
              <w:t>。</w:t>
            </w:r>
          </w:p>
          <w:p w14:paraId="7F7ACDCC">
            <w:pPr>
              <w:widowControl w:val="0"/>
              <w:kinsoku/>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color w:val="000000"/>
                <w:kern w:val="0"/>
                <w:sz w:val="24"/>
                <w:szCs w:val="20"/>
                <w:highlight w:val="none"/>
                <w:lang w:eastAsia="zh-CN"/>
              </w:rPr>
            </w:pPr>
            <w:r>
              <w:rPr>
                <w:rFonts w:hint="default" w:ascii="Times New Roman" w:hAnsi="Times New Roman" w:eastAsia="宋体" w:cs="Times New Roman"/>
                <w:b/>
                <w:snapToGrid/>
                <w:color w:val="auto"/>
                <w:kern w:val="2"/>
                <w:sz w:val="24"/>
                <w:szCs w:val="24"/>
                <w:lang w:val="en-US" w:eastAsia="zh-CN" w:bidi="ar-SA"/>
              </w:rPr>
              <w:t>表3</w:t>
            </w:r>
            <w:r>
              <w:rPr>
                <w:rFonts w:hint="eastAsia" w:ascii="Times New Roman" w:hAnsi="Times New Roman" w:eastAsia="宋体" w:cs="Times New Roman"/>
                <w:b/>
                <w:snapToGrid/>
                <w:color w:val="auto"/>
                <w:kern w:val="2"/>
                <w:sz w:val="24"/>
                <w:szCs w:val="24"/>
                <w:lang w:val="en-US" w:eastAsia="zh-CN" w:bidi="ar-SA"/>
              </w:rPr>
              <w:t>.3-1</w:t>
            </w:r>
            <w:r>
              <w:rPr>
                <w:rFonts w:hint="default" w:ascii="Times New Roman" w:hAnsi="Times New Roman" w:eastAsia="宋体" w:cs="Times New Roman"/>
                <w:b/>
                <w:snapToGrid/>
                <w:color w:val="auto"/>
                <w:kern w:val="2"/>
                <w:sz w:val="24"/>
                <w:szCs w:val="24"/>
                <w:lang w:val="en-US" w:eastAsia="zh-CN" w:bidi="ar-SA"/>
              </w:rPr>
              <w:t xml:space="preserve"> 《声环境质量标准》（</w:t>
            </w:r>
            <w:r>
              <w:rPr>
                <w:rFonts w:hint="eastAsia" w:ascii="Times New Roman" w:hAnsi="Times New Roman" w:eastAsia="宋体" w:cs="Times New Roman"/>
                <w:b/>
                <w:snapToGrid/>
                <w:color w:val="auto"/>
                <w:kern w:val="2"/>
                <w:sz w:val="24"/>
                <w:szCs w:val="24"/>
                <w:lang w:val="en-US" w:eastAsia="zh-CN" w:bidi="ar-SA"/>
              </w:rPr>
              <w:t>GB 3096-2008</w:t>
            </w:r>
            <w:r>
              <w:rPr>
                <w:rFonts w:hint="default" w:ascii="Times New Roman" w:hAnsi="Times New Roman" w:eastAsia="宋体" w:cs="Times New Roman"/>
                <w:b/>
                <w:snapToGrid/>
                <w:color w:val="auto"/>
                <w:kern w:val="2"/>
                <w:sz w:val="24"/>
                <w:szCs w:val="24"/>
                <w:lang w:val="en-US" w:eastAsia="zh-CN" w:bidi="ar-SA"/>
              </w:rPr>
              <w:t>） 单位：dB</w:t>
            </w:r>
            <w:r>
              <w:rPr>
                <w:rFonts w:hint="eastAsia" w:ascii="Times New Roman" w:hAnsi="Times New Roman" w:eastAsia="宋体" w:cs="Times New Roman"/>
                <w:b/>
                <w:snapToGrid/>
                <w:color w:val="auto"/>
                <w:kern w:val="2"/>
                <w:sz w:val="24"/>
                <w:szCs w:val="24"/>
                <w:lang w:val="en-US" w:eastAsia="zh-CN" w:bidi="ar-SA"/>
              </w:rPr>
              <w:t>（</w:t>
            </w:r>
            <w:r>
              <w:rPr>
                <w:rFonts w:hint="default" w:ascii="Times New Roman" w:hAnsi="Times New Roman" w:eastAsia="宋体" w:cs="Times New Roman"/>
                <w:b/>
                <w:snapToGrid/>
                <w:color w:val="auto"/>
                <w:kern w:val="2"/>
                <w:sz w:val="24"/>
                <w:szCs w:val="24"/>
                <w:lang w:val="en-US" w:eastAsia="zh-CN" w:bidi="ar-SA"/>
              </w:rPr>
              <w:t>A</w:t>
            </w:r>
            <w:r>
              <w:rPr>
                <w:rFonts w:hint="eastAsia" w:ascii="Times New Roman" w:hAnsi="Times New Roman" w:eastAsia="宋体" w:cs="Times New Roman"/>
                <w:b/>
                <w:snapToGrid/>
                <w:color w:val="auto"/>
                <w:kern w:val="2"/>
                <w:sz w:val="24"/>
                <w:szCs w:val="24"/>
                <w:lang w:val="en-US" w:eastAsia="zh-CN" w:bidi="ar-SA"/>
              </w:rPr>
              <w:t>）</w:t>
            </w:r>
          </w:p>
          <w:tbl>
            <w:tblPr>
              <w:tblStyle w:val="17"/>
              <w:tblW w:w="8191"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7"/>
              <w:gridCol w:w="4272"/>
              <w:gridCol w:w="1461"/>
              <w:gridCol w:w="1461"/>
            </w:tblGrid>
            <w:tr w14:paraId="3115DAB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7" w:type="dxa"/>
                  <w:noWrap w:val="0"/>
                  <w:vAlign w:val="center"/>
                </w:tcPr>
                <w:p w14:paraId="12E76BF9">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类别</w:t>
                  </w:r>
                </w:p>
              </w:tc>
              <w:tc>
                <w:tcPr>
                  <w:tcW w:w="4272" w:type="dxa"/>
                  <w:noWrap w:val="0"/>
                  <w:vAlign w:val="center"/>
                </w:tcPr>
                <w:p w14:paraId="5F1EB6EB">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适用区域</w:t>
                  </w:r>
                </w:p>
              </w:tc>
              <w:tc>
                <w:tcPr>
                  <w:tcW w:w="1461" w:type="dxa"/>
                  <w:noWrap w:val="0"/>
                  <w:vAlign w:val="center"/>
                </w:tcPr>
                <w:p w14:paraId="722E616B">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昼间</w:t>
                  </w:r>
                </w:p>
              </w:tc>
              <w:tc>
                <w:tcPr>
                  <w:tcW w:w="1461" w:type="dxa"/>
                  <w:noWrap w:val="0"/>
                  <w:vAlign w:val="center"/>
                </w:tcPr>
                <w:p w14:paraId="404FC1DB">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夜间</w:t>
                  </w:r>
                </w:p>
              </w:tc>
            </w:tr>
            <w:tr w14:paraId="5BE5BA26">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7" w:type="dxa"/>
                  <w:noWrap w:val="0"/>
                  <w:vAlign w:val="center"/>
                </w:tcPr>
                <w:p w14:paraId="69FE794A">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3类</w:t>
                  </w:r>
                </w:p>
              </w:tc>
              <w:tc>
                <w:tcPr>
                  <w:tcW w:w="4272" w:type="dxa"/>
                  <w:noWrap w:val="0"/>
                  <w:vAlign w:val="center"/>
                </w:tcPr>
                <w:p w14:paraId="6B9C61BC">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以工业生产、仓储物流为主要功能，需要防止工业噪声对周围环境产生严重影响的区域</w:t>
                  </w:r>
                </w:p>
              </w:tc>
              <w:tc>
                <w:tcPr>
                  <w:tcW w:w="1461" w:type="dxa"/>
                  <w:noWrap w:val="0"/>
                  <w:vAlign w:val="center"/>
                </w:tcPr>
                <w:p w14:paraId="1055BEDE">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65</w:t>
                  </w:r>
                </w:p>
              </w:tc>
              <w:tc>
                <w:tcPr>
                  <w:tcW w:w="1461" w:type="dxa"/>
                  <w:noWrap w:val="0"/>
                  <w:vAlign w:val="center"/>
                </w:tcPr>
                <w:p w14:paraId="4B01F137">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55</w:t>
                  </w:r>
                </w:p>
              </w:tc>
            </w:tr>
          </w:tbl>
          <w:p w14:paraId="3793CF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kern w:val="0"/>
                <w:sz w:val="24"/>
                <w:szCs w:val="20"/>
                <w:highlight w:val="none"/>
                <w:lang w:val="en-US" w:eastAsia="zh-CN"/>
              </w:rPr>
            </w:pPr>
            <w:r>
              <w:rPr>
                <w:rFonts w:hint="default" w:ascii="Times New Roman" w:hAnsi="Times New Roman" w:eastAsia="宋体" w:cs="Times New Roman"/>
                <w:b/>
                <w:bCs/>
                <w:color w:val="000000"/>
                <w:kern w:val="0"/>
                <w:sz w:val="24"/>
                <w:szCs w:val="20"/>
                <w:highlight w:val="none"/>
                <w:lang w:val="en-US" w:eastAsia="zh-CN"/>
              </w:rPr>
              <w:t>3.3.2 声环境质量现状</w:t>
            </w:r>
          </w:p>
          <w:p w14:paraId="009A89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为了解本项目厂界周边声环境质量现状，</w:t>
            </w:r>
            <w:r>
              <w:rPr>
                <w:rFonts w:hint="eastAsia" w:ascii="Times New Roman" w:hAnsi="Times New Roman" w:eastAsia="宋体" w:cs="Times New Roman"/>
                <w:sz w:val="24"/>
                <w:szCs w:val="24"/>
                <w:highlight w:val="none"/>
                <w:lang w:val="en-US" w:eastAsia="zh-CN"/>
              </w:rPr>
              <w:t>本项目引用</w:t>
            </w:r>
            <w:r>
              <w:rPr>
                <w:rFonts w:hint="default" w:ascii="Times New Roman" w:hAnsi="Times New Roman" w:eastAsia="宋体" w:cs="Times New Roman"/>
                <w:sz w:val="24"/>
                <w:szCs w:val="24"/>
                <w:highlight w:val="none"/>
                <w:lang w:val="en-US" w:eastAsia="zh-CN"/>
              </w:rPr>
              <w:t>福建九五检测技术服务有限公司于2024 年5月13日对本项目厂界周</w:t>
            </w:r>
            <w:r>
              <w:rPr>
                <w:rFonts w:hint="default" w:ascii="Times New Roman" w:hAnsi="Times New Roman" w:eastAsia="宋体" w:cs="Times New Roman"/>
                <w:color w:val="auto"/>
                <w:sz w:val="24"/>
                <w:szCs w:val="24"/>
                <w:highlight w:val="none"/>
                <w:lang w:val="en-US" w:eastAsia="zh-CN"/>
              </w:rPr>
              <w:t>围声环境</w:t>
            </w:r>
            <w:r>
              <w:rPr>
                <w:rFonts w:hint="eastAsia" w:ascii="Times New Roman" w:hAnsi="Times New Roman" w:eastAsia="宋体" w:cs="Times New Roman"/>
                <w:color w:val="auto"/>
                <w:sz w:val="24"/>
                <w:szCs w:val="24"/>
                <w:highlight w:val="none"/>
                <w:lang w:val="en-US" w:eastAsia="zh-CN"/>
              </w:rPr>
              <w:t>现状</w:t>
            </w:r>
            <w:r>
              <w:rPr>
                <w:rFonts w:hint="default" w:ascii="Times New Roman" w:hAnsi="Times New Roman" w:eastAsia="宋体" w:cs="Times New Roman"/>
                <w:color w:val="auto"/>
                <w:sz w:val="24"/>
                <w:szCs w:val="24"/>
                <w:highlight w:val="none"/>
                <w:lang w:val="en-US" w:eastAsia="zh-CN"/>
              </w:rPr>
              <w:t>进行了</w:t>
            </w:r>
            <w:r>
              <w:rPr>
                <w:rFonts w:hint="default" w:ascii="Times New Roman" w:hAnsi="Times New Roman" w:eastAsia="宋体" w:cs="Times New Roman"/>
                <w:sz w:val="24"/>
                <w:szCs w:val="24"/>
                <w:highlight w:val="none"/>
                <w:lang w:val="en-US" w:eastAsia="zh-CN"/>
              </w:rPr>
              <w:t>监测。噪声监测结果见下表3</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检</w:t>
            </w:r>
            <w:r>
              <w:rPr>
                <w:rFonts w:hint="default" w:ascii="Times New Roman" w:hAnsi="Times New Roman" w:eastAsia="宋体" w:cs="Times New Roman"/>
                <w:sz w:val="24"/>
                <w:szCs w:val="24"/>
                <w:highlight w:val="none"/>
                <w:lang w:val="en-US" w:eastAsia="zh-CN"/>
              </w:rPr>
              <w:t>测报告见附件</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w:t>
            </w:r>
          </w:p>
          <w:p w14:paraId="0778958E">
            <w:pPr>
              <w:widowControl w:val="0"/>
              <w:kinsoku/>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b/>
                <w:snapToGrid/>
                <w:color w:val="auto"/>
                <w:kern w:val="2"/>
                <w:sz w:val="24"/>
                <w:szCs w:val="24"/>
                <w:lang w:val="en-US" w:eastAsia="zh-CN" w:bidi="ar-SA"/>
              </w:rPr>
              <w:t>表3</w:t>
            </w:r>
            <w:r>
              <w:rPr>
                <w:rFonts w:hint="eastAsia" w:ascii="Times New Roman" w:hAnsi="Times New Roman" w:eastAsia="宋体" w:cs="Times New Roman"/>
                <w:b/>
                <w:snapToGrid/>
                <w:color w:val="auto"/>
                <w:kern w:val="2"/>
                <w:sz w:val="24"/>
                <w:szCs w:val="24"/>
                <w:lang w:val="en-US" w:eastAsia="zh-CN" w:bidi="ar-SA"/>
              </w:rPr>
              <w:t>.3</w:t>
            </w:r>
            <w:r>
              <w:rPr>
                <w:rFonts w:hint="default" w:ascii="Times New Roman" w:hAnsi="Times New Roman" w:eastAsia="宋体" w:cs="Times New Roman"/>
                <w:b/>
                <w:snapToGrid/>
                <w:color w:val="auto"/>
                <w:kern w:val="2"/>
                <w:sz w:val="24"/>
                <w:szCs w:val="24"/>
                <w:lang w:val="en-US" w:eastAsia="zh-CN" w:bidi="ar-SA"/>
              </w:rPr>
              <w:t>-</w:t>
            </w:r>
            <w:r>
              <w:rPr>
                <w:rFonts w:hint="eastAsia" w:ascii="Times New Roman" w:hAnsi="Times New Roman" w:eastAsia="宋体" w:cs="Times New Roman"/>
                <w:b/>
                <w:snapToGrid/>
                <w:color w:val="auto"/>
                <w:kern w:val="2"/>
                <w:sz w:val="24"/>
                <w:szCs w:val="24"/>
                <w:lang w:val="en-US" w:eastAsia="zh-CN" w:bidi="ar-SA"/>
              </w:rPr>
              <w:t xml:space="preserve">2 </w:t>
            </w:r>
            <w:r>
              <w:rPr>
                <w:rFonts w:hint="default" w:ascii="Times New Roman" w:hAnsi="Times New Roman" w:eastAsia="宋体" w:cs="Times New Roman"/>
                <w:b/>
                <w:snapToGrid/>
                <w:color w:val="auto"/>
                <w:kern w:val="2"/>
                <w:sz w:val="24"/>
                <w:szCs w:val="24"/>
                <w:lang w:val="en-US" w:eastAsia="zh-CN" w:bidi="ar-SA"/>
              </w:rPr>
              <w:t>厂界声环境现状监测结果</w:t>
            </w:r>
          </w:p>
          <w:tbl>
            <w:tblPr>
              <w:tblStyle w:val="17"/>
              <w:tblW w:w="5000" w:type="pct"/>
              <w:tblInd w:w="5"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051"/>
              <w:gridCol w:w="1600"/>
              <w:gridCol w:w="1549"/>
              <w:gridCol w:w="1431"/>
              <w:gridCol w:w="2545"/>
            </w:tblGrid>
            <w:tr w14:paraId="1A01196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642" w:type="pct"/>
                  <w:vMerge w:val="restart"/>
                  <w:noWrap/>
                  <w:vAlign w:val="center"/>
                </w:tcPr>
                <w:p w14:paraId="60C686ED">
                  <w:pPr>
                    <w:widowControl/>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bidi="ar"/>
                    </w:rPr>
                    <w:t>检测</w:t>
                  </w:r>
                  <w:r>
                    <w:rPr>
                      <w:rFonts w:hint="default" w:ascii="Times New Roman" w:hAnsi="Times New Roman" w:cs="Times New Roman"/>
                      <w:color w:val="000000"/>
                      <w:highlight w:val="none"/>
                      <w:lang w:bidi="ar"/>
                    </w:rPr>
                    <w:t>日期</w:t>
                  </w:r>
                </w:p>
              </w:tc>
              <w:tc>
                <w:tcPr>
                  <w:tcW w:w="978" w:type="pct"/>
                  <w:vMerge w:val="restart"/>
                  <w:noWrap/>
                  <w:vAlign w:val="center"/>
                </w:tcPr>
                <w:p w14:paraId="2B8887AD">
                  <w:pPr>
                    <w:widowControl/>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lang w:bidi="ar"/>
                    </w:rPr>
                    <w:t>采样点位</w:t>
                  </w:r>
                </w:p>
              </w:tc>
              <w:tc>
                <w:tcPr>
                  <w:tcW w:w="3378" w:type="pct"/>
                  <w:gridSpan w:val="3"/>
                  <w:noWrap/>
                  <w:vAlign w:val="center"/>
                </w:tcPr>
                <w:p w14:paraId="36D9F8F2">
                  <w:pPr>
                    <w:widowControl/>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lang w:bidi="ar"/>
                    </w:rPr>
                    <w:t>检测结果mg/m</w:t>
                  </w:r>
                  <w:r>
                    <w:rPr>
                      <w:rFonts w:hint="default" w:ascii="Times New Roman" w:hAnsi="Times New Roman" w:cs="Times New Roman"/>
                      <w:color w:val="000000"/>
                      <w:highlight w:val="none"/>
                      <w:vertAlign w:val="superscript"/>
                      <w:lang w:bidi="ar"/>
                    </w:rPr>
                    <w:t>3</w:t>
                  </w:r>
                </w:p>
              </w:tc>
            </w:tr>
            <w:tr w14:paraId="477F762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642" w:type="pct"/>
                  <w:vMerge w:val="continue"/>
                  <w:noWrap/>
                  <w:vAlign w:val="center"/>
                </w:tcPr>
                <w:p w14:paraId="42ADF0E6">
                  <w:pPr>
                    <w:jc w:val="center"/>
                    <w:rPr>
                      <w:rFonts w:hint="default" w:ascii="Times New Roman" w:hAnsi="Times New Roman" w:cs="Times New Roman"/>
                      <w:color w:val="000000"/>
                      <w:highlight w:val="none"/>
                    </w:rPr>
                  </w:pPr>
                </w:p>
              </w:tc>
              <w:tc>
                <w:tcPr>
                  <w:tcW w:w="978" w:type="pct"/>
                  <w:vMerge w:val="continue"/>
                  <w:noWrap/>
                  <w:vAlign w:val="center"/>
                </w:tcPr>
                <w:p w14:paraId="75E76297">
                  <w:pPr>
                    <w:jc w:val="center"/>
                    <w:rPr>
                      <w:rFonts w:hint="default" w:ascii="Times New Roman" w:hAnsi="Times New Roman" w:cs="Times New Roman"/>
                      <w:color w:val="000000"/>
                      <w:highlight w:val="none"/>
                    </w:rPr>
                  </w:pPr>
                </w:p>
              </w:tc>
              <w:tc>
                <w:tcPr>
                  <w:tcW w:w="947" w:type="pct"/>
                  <w:noWrap/>
                  <w:vAlign w:val="center"/>
                </w:tcPr>
                <w:p w14:paraId="3CA0414E">
                  <w:pPr>
                    <w:widowControl/>
                    <w:jc w:val="center"/>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bidi="ar"/>
                    </w:rPr>
                    <w:t>昼间</w:t>
                  </w:r>
                </w:p>
              </w:tc>
              <w:tc>
                <w:tcPr>
                  <w:tcW w:w="875" w:type="pct"/>
                  <w:noWrap/>
                  <w:vAlign w:val="center"/>
                </w:tcPr>
                <w:p w14:paraId="3CABE40F">
                  <w:pPr>
                    <w:widowControl/>
                    <w:jc w:val="center"/>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bidi="ar"/>
                    </w:rPr>
                    <w:t>夜间</w:t>
                  </w:r>
                </w:p>
              </w:tc>
              <w:tc>
                <w:tcPr>
                  <w:tcW w:w="1556" w:type="pct"/>
                  <w:noWrap/>
                  <w:vAlign w:val="center"/>
                </w:tcPr>
                <w:p w14:paraId="381FE0CA">
                  <w:pPr>
                    <w:widowControl/>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bidi="ar"/>
                    </w:rPr>
                    <w:t>达标情况</w:t>
                  </w:r>
                </w:p>
              </w:tc>
            </w:tr>
            <w:tr w14:paraId="5A54073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642" w:type="pct"/>
                  <w:vMerge w:val="restart"/>
                  <w:noWrap/>
                  <w:vAlign w:val="center"/>
                </w:tcPr>
                <w:p w14:paraId="7948A10E">
                  <w:pPr>
                    <w:widowControl/>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2024年5月13日</w:t>
                  </w:r>
                </w:p>
              </w:tc>
              <w:tc>
                <w:tcPr>
                  <w:tcW w:w="978" w:type="pct"/>
                  <w:noWrap/>
                  <w:vAlign w:val="center"/>
                </w:tcPr>
                <w:p w14:paraId="4560550E">
                  <w:pPr>
                    <w:widowControl/>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bidi="ar"/>
                    </w:rPr>
                    <w:t>N1项目东北侧</w:t>
                  </w:r>
                </w:p>
              </w:tc>
              <w:tc>
                <w:tcPr>
                  <w:tcW w:w="947" w:type="pct"/>
                  <w:noWrap/>
                  <w:vAlign w:val="center"/>
                </w:tcPr>
                <w:p w14:paraId="76CFDCB6">
                  <w:pPr>
                    <w:widowControl/>
                    <w:jc w:val="center"/>
                    <w:rPr>
                      <w:rFonts w:hint="default" w:ascii="Times New Roman" w:hAnsi="Times New Roman" w:eastAsia="宋体" w:cs="Times New Roman"/>
                      <w:color w:val="000000"/>
                      <w:highlight w:val="none"/>
                      <w:lang w:val="en-US" w:eastAsia="zh-CN"/>
                    </w:rPr>
                  </w:pPr>
                </w:p>
              </w:tc>
              <w:tc>
                <w:tcPr>
                  <w:tcW w:w="875" w:type="pct"/>
                  <w:noWrap/>
                  <w:vAlign w:val="center"/>
                </w:tcPr>
                <w:p w14:paraId="07D4B788">
                  <w:pPr>
                    <w:widowControl/>
                    <w:jc w:val="center"/>
                    <w:rPr>
                      <w:rFonts w:hint="default" w:ascii="Times New Roman" w:hAnsi="Times New Roman" w:eastAsia="宋体" w:cs="Times New Roman"/>
                      <w:color w:val="000000"/>
                      <w:highlight w:val="none"/>
                      <w:lang w:val="en-US" w:eastAsia="zh-CN"/>
                    </w:rPr>
                  </w:pPr>
                </w:p>
              </w:tc>
              <w:tc>
                <w:tcPr>
                  <w:tcW w:w="1556" w:type="pct"/>
                  <w:noWrap/>
                  <w:vAlign w:val="center"/>
                </w:tcPr>
                <w:p w14:paraId="18A6E5D1">
                  <w:pPr>
                    <w:widowControl/>
                    <w:jc w:val="center"/>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bidi="ar"/>
                    </w:rPr>
                    <w:t>达标</w:t>
                  </w:r>
                </w:p>
              </w:tc>
            </w:tr>
            <w:tr w14:paraId="44D6536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642" w:type="pct"/>
                  <w:vMerge w:val="continue"/>
                  <w:noWrap/>
                  <w:vAlign w:val="center"/>
                </w:tcPr>
                <w:p w14:paraId="3B2F3B77">
                  <w:pPr>
                    <w:widowControl/>
                    <w:jc w:val="center"/>
                    <w:rPr>
                      <w:rFonts w:hint="default" w:ascii="Times New Roman" w:hAnsi="Times New Roman" w:cs="Times New Roman"/>
                      <w:color w:val="000000"/>
                      <w:highlight w:val="none"/>
                    </w:rPr>
                  </w:pPr>
                </w:p>
              </w:tc>
              <w:tc>
                <w:tcPr>
                  <w:tcW w:w="978" w:type="pct"/>
                  <w:noWrap/>
                  <w:vAlign w:val="center"/>
                </w:tcPr>
                <w:p w14:paraId="3B66CB59">
                  <w:pPr>
                    <w:widowControl/>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bidi="ar"/>
                    </w:rPr>
                    <w:t>N2项目东侧</w:t>
                  </w:r>
                </w:p>
              </w:tc>
              <w:tc>
                <w:tcPr>
                  <w:tcW w:w="947" w:type="pct"/>
                  <w:noWrap/>
                  <w:vAlign w:val="center"/>
                </w:tcPr>
                <w:p w14:paraId="2A4299CA">
                  <w:pPr>
                    <w:widowControl/>
                    <w:jc w:val="center"/>
                    <w:rPr>
                      <w:rFonts w:hint="default" w:ascii="Times New Roman" w:hAnsi="Times New Roman" w:eastAsia="宋体" w:cs="Times New Roman"/>
                      <w:color w:val="000000"/>
                      <w:highlight w:val="none"/>
                      <w:lang w:val="en-US" w:eastAsia="zh-CN"/>
                    </w:rPr>
                  </w:pPr>
                </w:p>
              </w:tc>
              <w:tc>
                <w:tcPr>
                  <w:tcW w:w="875" w:type="pct"/>
                  <w:noWrap/>
                  <w:vAlign w:val="center"/>
                </w:tcPr>
                <w:p w14:paraId="5A626B58">
                  <w:pPr>
                    <w:widowControl/>
                    <w:jc w:val="center"/>
                    <w:rPr>
                      <w:rFonts w:hint="default" w:ascii="Times New Roman" w:hAnsi="Times New Roman" w:eastAsia="宋体" w:cs="Times New Roman"/>
                      <w:color w:val="000000"/>
                      <w:highlight w:val="none"/>
                      <w:lang w:val="en-US" w:eastAsia="zh-CN"/>
                    </w:rPr>
                  </w:pPr>
                </w:p>
              </w:tc>
              <w:tc>
                <w:tcPr>
                  <w:tcW w:w="1556" w:type="pct"/>
                  <w:noWrap/>
                  <w:vAlign w:val="center"/>
                </w:tcPr>
                <w:p w14:paraId="15E64863">
                  <w:pPr>
                    <w:widowControl/>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bidi="ar"/>
                    </w:rPr>
                    <w:t>达标</w:t>
                  </w:r>
                </w:p>
              </w:tc>
            </w:tr>
            <w:tr w14:paraId="2990963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642" w:type="pct"/>
                  <w:vMerge w:val="continue"/>
                  <w:noWrap/>
                  <w:vAlign w:val="center"/>
                </w:tcPr>
                <w:p w14:paraId="62377A2A">
                  <w:pPr>
                    <w:widowControl/>
                    <w:jc w:val="center"/>
                    <w:rPr>
                      <w:rFonts w:hint="default" w:ascii="Times New Roman" w:hAnsi="Times New Roman" w:cs="Times New Roman"/>
                      <w:color w:val="000000"/>
                      <w:highlight w:val="none"/>
                    </w:rPr>
                  </w:pPr>
                </w:p>
              </w:tc>
              <w:tc>
                <w:tcPr>
                  <w:tcW w:w="978" w:type="pct"/>
                  <w:noWrap/>
                  <w:vAlign w:val="center"/>
                </w:tcPr>
                <w:p w14:paraId="073828C6">
                  <w:pPr>
                    <w:widowControl/>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bidi="ar"/>
                    </w:rPr>
                    <w:t>N3项目西南侧</w:t>
                  </w:r>
                </w:p>
              </w:tc>
              <w:tc>
                <w:tcPr>
                  <w:tcW w:w="947" w:type="pct"/>
                  <w:noWrap/>
                  <w:vAlign w:val="center"/>
                </w:tcPr>
                <w:p w14:paraId="33B36CC2">
                  <w:pPr>
                    <w:widowControl/>
                    <w:jc w:val="center"/>
                    <w:rPr>
                      <w:rFonts w:hint="default" w:ascii="Times New Roman" w:hAnsi="Times New Roman" w:eastAsia="宋体" w:cs="Times New Roman"/>
                      <w:color w:val="000000"/>
                      <w:highlight w:val="none"/>
                      <w:lang w:val="en-US" w:eastAsia="zh-CN"/>
                    </w:rPr>
                  </w:pPr>
                </w:p>
              </w:tc>
              <w:tc>
                <w:tcPr>
                  <w:tcW w:w="875" w:type="pct"/>
                  <w:noWrap/>
                  <w:vAlign w:val="center"/>
                </w:tcPr>
                <w:p w14:paraId="6EDAA0B3">
                  <w:pPr>
                    <w:widowControl/>
                    <w:jc w:val="center"/>
                    <w:rPr>
                      <w:rFonts w:hint="default" w:ascii="Times New Roman" w:hAnsi="Times New Roman" w:eastAsia="宋体" w:cs="Times New Roman"/>
                      <w:color w:val="000000"/>
                      <w:highlight w:val="none"/>
                      <w:lang w:val="en-US" w:eastAsia="zh-CN"/>
                    </w:rPr>
                  </w:pPr>
                </w:p>
              </w:tc>
              <w:tc>
                <w:tcPr>
                  <w:tcW w:w="1556" w:type="pct"/>
                  <w:noWrap/>
                  <w:vAlign w:val="center"/>
                </w:tcPr>
                <w:p w14:paraId="054B6C6F">
                  <w:pPr>
                    <w:widowControl/>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bidi="ar"/>
                    </w:rPr>
                    <w:t>达标</w:t>
                  </w:r>
                </w:p>
              </w:tc>
            </w:tr>
            <w:tr w14:paraId="4D5082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0" w:hRule="atLeast"/>
              </w:trPr>
              <w:tc>
                <w:tcPr>
                  <w:tcW w:w="642" w:type="pct"/>
                  <w:vMerge w:val="continue"/>
                  <w:noWrap/>
                  <w:vAlign w:val="center"/>
                </w:tcPr>
                <w:p w14:paraId="4E912282">
                  <w:pPr>
                    <w:widowControl/>
                    <w:jc w:val="center"/>
                    <w:rPr>
                      <w:rFonts w:hint="default" w:ascii="Times New Roman" w:hAnsi="Times New Roman" w:cs="Times New Roman"/>
                      <w:color w:val="000000"/>
                      <w:highlight w:val="none"/>
                    </w:rPr>
                  </w:pPr>
                </w:p>
              </w:tc>
              <w:tc>
                <w:tcPr>
                  <w:tcW w:w="978" w:type="pct"/>
                  <w:noWrap/>
                  <w:vAlign w:val="center"/>
                </w:tcPr>
                <w:p w14:paraId="2DAD1ABB">
                  <w:pPr>
                    <w:widowControl/>
                    <w:jc w:val="center"/>
                    <w:rPr>
                      <w:rFonts w:hint="default" w:ascii="Times New Roman" w:hAnsi="Times New Roman" w:eastAsia="宋体" w:cs="Times New Roman"/>
                      <w:color w:val="000000"/>
                      <w:highlight w:val="none"/>
                      <w:lang w:val="en-US" w:eastAsia="zh-CN" w:bidi="ar"/>
                    </w:rPr>
                  </w:pPr>
                  <w:r>
                    <w:rPr>
                      <w:rFonts w:hint="default" w:ascii="Times New Roman" w:hAnsi="Times New Roman" w:cs="Times New Roman"/>
                      <w:color w:val="000000"/>
                      <w:highlight w:val="none"/>
                      <w:lang w:val="en-US" w:eastAsia="zh-CN" w:bidi="ar"/>
                    </w:rPr>
                    <w:t>N4项目西北侧</w:t>
                  </w:r>
                </w:p>
              </w:tc>
              <w:tc>
                <w:tcPr>
                  <w:tcW w:w="947" w:type="pct"/>
                  <w:noWrap/>
                  <w:vAlign w:val="center"/>
                </w:tcPr>
                <w:p w14:paraId="6210F162">
                  <w:pPr>
                    <w:widowControl/>
                    <w:jc w:val="center"/>
                    <w:rPr>
                      <w:rFonts w:hint="default" w:ascii="Times New Roman" w:hAnsi="Times New Roman" w:eastAsia="宋体" w:cs="Times New Roman"/>
                      <w:color w:val="000000"/>
                      <w:highlight w:val="none"/>
                      <w:lang w:val="en-US" w:eastAsia="zh-CN" w:bidi="ar"/>
                    </w:rPr>
                  </w:pPr>
                </w:p>
              </w:tc>
              <w:tc>
                <w:tcPr>
                  <w:tcW w:w="875" w:type="pct"/>
                  <w:noWrap/>
                  <w:vAlign w:val="center"/>
                </w:tcPr>
                <w:p w14:paraId="0DF90A4E">
                  <w:pPr>
                    <w:widowControl/>
                    <w:jc w:val="center"/>
                    <w:rPr>
                      <w:rFonts w:hint="default" w:ascii="Times New Roman" w:hAnsi="Times New Roman" w:eastAsia="宋体" w:cs="Times New Roman"/>
                      <w:color w:val="000000"/>
                      <w:highlight w:val="none"/>
                      <w:lang w:val="en-US" w:eastAsia="zh-CN" w:bidi="ar"/>
                    </w:rPr>
                  </w:pPr>
                </w:p>
              </w:tc>
              <w:tc>
                <w:tcPr>
                  <w:tcW w:w="1556" w:type="pct"/>
                  <w:noWrap/>
                  <w:vAlign w:val="center"/>
                </w:tcPr>
                <w:p w14:paraId="71120A6B">
                  <w:pPr>
                    <w:widowControl/>
                    <w:jc w:val="center"/>
                    <w:rPr>
                      <w:rFonts w:hint="default" w:ascii="Times New Roman" w:hAnsi="Times New Roman" w:cs="Times New Roman"/>
                      <w:color w:val="000000"/>
                      <w:highlight w:val="none"/>
                      <w:lang w:bidi="ar"/>
                    </w:rPr>
                  </w:pPr>
                  <w:r>
                    <w:rPr>
                      <w:rFonts w:hint="default" w:ascii="Times New Roman" w:hAnsi="Times New Roman" w:cs="Times New Roman"/>
                      <w:color w:val="000000"/>
                      <w:highlight w:val="none"/>
                      <w:lang w:val="en-US" w:eastAsia="zh-CN" w:bidi="ar"/>
                    </w:rPr>
                    <w:t>达标</w:t>
                  </w:r>
                </w:p>
              </w:tc>
            </w:tr>
          </w:tbl>
          <w:p w14:paraId="3CC27D5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由上表可见，本项目区域昼间</w:t>
            </w:r>
            <w:r>
              <w:rPr>
                <w:rFonts w:hint="eastAsia" w:ascii="Times New Roman" w:hAnsi="Times New Roman" w:eastAsia="宋体" w:cs="Times New Roman"/>
                <w:sz w:val="24"/>
                <w:szCs w:val="24"/>
                <w:highlight w:val="none"/>
                <w:lang w:val="en-US" w:eastAsia="zh-CN"/>
              </w:rPr>
              <w:t>声</w:t>
            </w:r>
            <w:r>
              <w:rPr>
                <w:rFonts w:hint="default" w:ascii="Times New Roman" w:hAnsi="Times New Roman" w:eastAsia="宋体" w:cs="Times New Roman"/>
                <w:sz w:val="24"/>
                <w:szCs w:val="24"/>
                <w:highlight w:val="none"/>
                <w:lang w:val="en-US" w:eastAsia="zh-CN"/>
              </w:rPr>
              <w:t>环境符合《声环境质量标准》（</w:t>
            </w:r>
            <w:r>
              <w:rPr>
                <w:rFonts w:hint="eastAsia" w:ascii="Times New Roman" w:hAnsi="Times New Roman" w:eastAsia="宋体" w:cs="Times New Roman"/>
                <w:sz w:val="24"/>
                <w:szCs w:val="24"/>
                <w:highlight w:val="none"/>
                <w:lang w:val="en-US" w:eastAsia="zh-CN"/>
              </w:rPr>
              <w:t>GB 3096-2008</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中</w:t>
            </w:r>
            <w:r>
              <w:rPr>
                <w:rFonts w:hint="default" w:ascii="Times New Roman" w:hAnsi="Times New Roman" w:eastAsia="宋体" w:cs="Times New Roman"/>
                <w:sz w:val="24"/>
                <w:szCs w:val="24"/>
                <w:highlight w:val="none"/>
                <w:lang w:val="en-US" w:eastAsia="zh-CN"/>
              </w:rPr>
              <w:t>3类标准要求，项目区域声环境质量现状良好。</w:t>
            </w:r>
          </w:p>
          <w:p w14:paraId="7BE09695">
            <w:pPr>
              <w:spacing w:line="360" w:lineRule="auto"/>
              <w:rPr>
                <w:rFonts w:hint="default" w:ascii="Times New Roman" w:hAnsi="Times New Roman" w:eastAsia="宋体" w:cs="Times New Roman"/>
                <w:b/>
                <w:bCs/>
                <w:color w:val="000000"/>
                <w:kern w:val="0"/>
                <w:sz w:val="28"/>
                <w:szCs w:val="21"/>
                <w:highlight w:val="none"/>
              </w:rPr>
            </w:pPr>
            <w:r>
              <w:rPr>
                <w:rFonts w:hint="default" w:ascii="Times New Roman" w:hAnsi="Times New Roman" w:eastAsia="宋体" w:cs="Times New Roman"/>
                <w:b/>
                <w:bCs/>
                <w:color w:val="000000"/>
                <w:kern w:val="0"/>
                <w:sz w:val="28"/>
                <w:szCs w:val="21"/>
                <w:highlight w:val="none"/>
              </w:rPr>
              <w:t>3.</w:t>
            </w:r>
            <w:r>
              <w:rPr>
                <w:rFonts w:hint="default" w:ascii="Times New Roman" w:hAnsi="Times New Roman" w:eastAsia="宋体" w:cs="Times New Roman"/>
                <w:b/>
                <w:bCs/>
                <w:color w:val="000000"/>
                <w:kern w:val="0"/>
                <w:sz w:val="28"/>
                <w:szCs w:val="21"/>
                <w:highlight w:val="none"/>
                <w:lang w:val="en-US" w:eastAsia="zh-CN"/>
              </w:rPr>
              <w:t>4 生态</w:t>
            </w:r>
            <w:r>
              <w:rPr>
                <w:rFonts w:hint="default" w:ascii="Times New Roman" w:hAnsi="Times New Roman" w:eastAsia="宋体" w:cs="Times New Roman"/>
                <w:b/>
                <w:bCs/>
                <w:color w:val="000000"/>
                <w:kern w:val="0"/>
                <w:sz w:val="28"/>
                <w:szCs w:val="21"/>
                <w:highlight w:val="none"/>
              </w:rPr>
              <w:t>环境</w:t>
            </w:r>
          </w:p>
          <w:p w14:paraId="5F6801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本项目位于福建省泉州市永春县</w:t>
            </w:r>
            <w:r>
              <w:rPr>
                <w:rFonts w:hint="eastAsia" w:ascii="Times New Roman" w:hAnsi="Times New Roman" w:eastAsia="宋体" w:cs="Times New Roman"/>
                <w:sz w:val="24"/>
                <w:szCs w:val="24"/>
                <w:highlight w:val="none"/>
                <w:lang w:val="en-US" w:eastAsia="zh-CN"/>
              </w:rPr>
              <w:t>蓬壶镇</w:t>
            </w:r>
            <w:r>
              <w:rPr>
                <w:rFonts w:hint="default" w:ascii="Times New Roman" w:hAnsi="Times New Roman" w:eastAsia="宋体" w:cs="Times New Roman"/>
                <w:sz w:val="24"/>
                <w:szCs w:val="24"/>
                <w:highlight w:val="none"/>
                <w:lang w:val="en-US" w:eastAsia="zh-CN"/>
              </w:rPr>
              <w:t>蓬壶工业园</w:t>
            </w:r>
            <w:r>
              <w:rPr>
                <w:rFonts w:hint="eastAsia" w:ascii="Times New Roman" w:hAnsi="Times New Roman" w:eastAsia="宋体" w:cs="Times New Roman"/>
                <w:sz w:val="24"/>
                <w:szCs w:val="24"/>
                <w:highlight w:val="none"/>
                <w:lang w:val="en-US" w:eastAsia="zh-CN"/>
              </w:rPr>
              <w:t>29</w:t>
            </w:r>
            <w:r>
              <w:rPr>
                <w:rFonts w:hint="default" w:ascii="Times New Roman" w:hAnsi="Times New Roman" w:eastAsia="宋体" w:cs="Times New Roman"/>
                <w:sz w:val="24"/>
                <w:szCs w:val="24"/>
                <w:highlight w:val="none"/>
                <w:lang w:val="en-US" w:eastAsia="zh-CN"/>
              </w:rPr>
              <w:t>号</w:t>
            </w:r>
            <w:r>
              <w:rPr>
                <w:rFonts w:hint="eastAsia" w:ascii="Times New Roman" w:hAnsi="Times New Roman" w:eastAsia="宋体" w:cs="Times New Roman"/>
                <w:sz w:val="24"/>
                <w:szCs w:val="24"/>
                <w:highlight w:val="none"/>
                <w:lang w:val="en-US" w:eastAsia="zh-CN"/>
              </w:rPr>
              <w:t>、58号</w:t>
            </w:r>
            <w:r>
              <w:rPr>
                <w:rFonts w:hint="default" w:ascii="Times New Roman" w:hAnsi="Times New Roman" w:eastAsia="宋体" w:cs="Times New Roman"/>
                <w:sz w:val="24"/>
                <w:szCs w:val="24"/>
                <w:highlight w:val="none"/>
                <w:lang w:val="en-US" w:eastAsia="zh-CN"/>
              </w:rPr>
              <w:t>，用地范围内无生态环境保护目标，项目位于已建厂房内，不新增用地，因此项目无需进行生态环境现状调查。</w:t>
            </w:r>
          </w:p>
          <w:p w14:paraId="06A35739">
            <w:pPr>
              <w:spacing w:line="360" w:lineRule="auto"/>
              <w:rPr>
                <w:rFonts w:hint="default" w:ascii="Times New Roman" w:hAnsi="Times New Roman" w:eastAsia="宋体" w:cs="Times New Roman"/>
                <w:b/>
                <w:bCs/>
                <w:color w:val="000000"/>
                <w:kern w:val="0"/>
                <w:sz w:val="28"/>
                <w:szCs w:val="21"/>
                <w:highlight w:val="none"/>
                <w:lang w:val="en-US" w:eastAsia="zh-CN"/>
              </w:rPr>
            </w:pPr>
            <w:r>
              <w:rPr>
                <w:rFonts w:hint="default" w:ascii="Times New Roman" w:hAnsi="Times New Roman" w:eastAsia="宋体" w:cs="Times New Roman"/>
                <w:b/>
                <w:bCs/>
                <w:color w:val="000000"/>
                <w:kern w:val="0"/>
                <w:sz w:val="28"/>
                <w:szCs w:val="21"/>
                <w:highlight w:val="none"/>
                <w:lang w:val="en-US" w:eastAsia="zh-CN"/>
              </w:rPr>
              <w:t>3.5 地下水环境</w:t>
            </w:r>
          </w:p>
          <w:p w14:paraId="7BA8674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项目为充气床</w:t>
            </w:r>
            <w:r>
              <w:rPr>
                <w:rFonts w:hint="eastAsia" w:ascii="Times New Roman" w:hAnsi="Times New Roman" w:eastAsia="宋体" w:cs="Times New Roman"/>
                <w:sz w:val="24"/>
                <w:szCs w:val="24"/>
                <w:highlight w:val="none"/>
                <w:lang w:val="en-US" w:eastAsia="zh-CN"/>
              </w:rPr>
              <w:t>、露营垫、箱包</w:t>
            </w:r>
            <w:r>
              <w:rPr>
                <w:rFonts w:hint="default" w:ascii="Times New Roman" w:hAnsi="Times New Roman" w:eastAsia="宋体" w:cs="Times New Roman"/>
                <w:sz w:val="24"/>
                <w:szCs w:val="24"/>
                <w:highlight w:val="none"/>
                <w:lang w:val="en-US" w:eastAsia="zh-CN"/>
              </w:rPr>
              <w:t>生产加工，根据《环境影响评价技术导则 地下水环境》（</w:t>
            </w:r>
            <w:r>
              <w:rPr>
                <w:rFonts w:hint="eastAsia" w:ascii="Times New Roman" w:hAnsi="Times New Roman" w:eastAsia="宋体" w:cs="Times New Roman"/>
                <w:sz w:val="24"/>
                <w:szCs w:val="24"/>
                <w:highlight w:val="none"/>
                <w:lang w:val="en-US" w:eastAsia="zh-CN"/>
              </w:rPr>
              <w:t>HJ610-2016</w:t>
            </w:r>
            <w:r>
              <w:rPr>
                <w:rFonts w:hint="default" w:ascii="Times New Roman" w:hAnsi="Times New Roman" w:eastAsia="宋体" w:cs="Times New Roman"/>
                <w:sz w:val="24"/>
                <w:szCs w:val="24"/>
                <w:highlight w:val="none"/>
                <w:lang w:val="en-US" w:eastAsia="zh-CN"/>
              </w:rPr>
              <w:t>）中附录A</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地下水环境影响评价行业分类表</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，本项目属于</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116、塑料制品制造</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其他</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，编制报告表，属于</w:t>
            </w:r>
            <w:r>
              <w:rPr>
                <w:rFonts w:hint="eastAsia" w:ascii="Times New Roman" w:hAnsi="Times New Roman" w:eastAsia="宋体" w:cs="Times New Roman"/>
                <w:sz w:val="24"/>
                <w:szCs w:val="24"/>
                <w:highlight w:val="none"/>
                <w:lang w:val="en-US" w:eastAsia="zh-CN"/>
              </w:rPr>
              <w:t>Ⅳ类</w:t>
            </w:r>
            <w:r>
              <w:rPr>
                <w:rFonts w:hint="default" w:ascii="Times New Roman" w:hAnsi="Times New Roman" w:eastAsia="宋体" w:cs="Times New Roman"/>
                <w:sz w:val="24"/>
                <w:szCs w:val="24"/>
                <w:highlight w:val="none"/>
                <w:lang w:val="en-US" w:eastAsia="zh-CN"/>
              </w:rPr>
              <w:t>项目，</w:t>
            </w:r>
            <w:r>
              <w:rPr>
                <w:rFonts w:hint="eastAsia" w:ascii="Times New Roman" w:hAnsi="Times New Roman" w:eastAsia="宋体" w:cs="Times New Roman"/>
                <w:sz w:val="24"/>
                <w:szCs w:val="24"/>
                <w:highlight w:val="none"/>
                <w:lang w:val="en-US" w:eastAsia="zh-CN"/>
              </w:rPr>
              <w:t>因此</w:t>
            </w:r>
            <w:r>
              <w:rPr>
                <w:rFonts w:hint="default" w:ascii="Times New Roman" w:hAnsi="Times New Roman" w:eastAsia="宋体" w:cs="Times New Roman"/>
                <w:sz w:val="24"/>
                <w:szCs w:val="24"/>
                <w:highlight w:val="none"/>
                <w:lang w:val="en-US" w:eastAsia="zh-CN"/>
              </w:rPr>
              <w:t>项目无需开展地下水环境影响评价及地下水环境现状调查。</w:t>
            </w:r>
          </w:p>
          <w:p w14:paraId="3196DB16">
            <w:pPr>
              <w:spacing w:line="360" w:lineRule="auto"/>
              <w:rPr>
                <w:rFonts w:hint="default" w:ascii="Times New Roman" w:hAnsi="Times New Roman" w:eastAsia="宋体" w:cs="Times New Roman"/>
                <w:b/>
                <w:bCs/>
                <w:color w:val="000000"/>
                <w:kern w:val="0"/>
                <w:sz w:val="28"/>
                <w:szCs w:val="21"/>
                <w:highlight w:val="none"/>
                <w:lang w:val="en-US" w:eastAsia="zh-CN"/>
              </w:rPr>
            </w:pPr>
            <w:r>
              <w:rPr>
                <w:rFonts w:hint="default" w:ascii="Times New Roman" w:hAnsi="Times New Roman" w:eastAsia="宋体" w:cs="Times New Roman"/>
                <w:b/>
                <w:bCs/>
                <w:color w:val="000000"/>
                <w:kern w:val="0"/>
                <w:sz w:val="28"/>
                <w:szCs w:val="21"/>
                <w:highlight w:val="none"/>
                <w:lang w:val="en-US" w:eastAsia="zh-CN"/>
              </w:rPr>
              <w:t>3.6 土壤环境</w:t>
            </w:r>
          </w:p>
          <w:p w14:paraId="29E006D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项目主要从事充气床</w:t>
            </w:r>
            <w:r>
              <w:rPr>
                <w:rFonts w:hint="eastAsia" w:ascii="Times New Roman" w:hAnsi="Times New Roman" w:eastAsia="宋体" w:cs="Times New Roman"/>
                <w:sz w:val="24"/>
                <w:szCs w:val="24"/>
                <w:highlight w:val="none"/>
                <w:lang w:val="en-US" w:eastAsia="zh-CN"/>
              </w:rPr>
              <w:t>、露营垫、箱包</w:t>
            </w:r>
            <w:r>
              <w:rPr>
                <w:rFonts w:hint="default" w:ascii="Times New Roman" w:hAnsi="Times New Roman" w:eastAsia="宋体" w:cs="Times New Roman"/>
                <w:sz w:val="24"/>
                <w:szCs w:val="24"/>
                <w:highlight w:val="none"/>
                <w:lang w:val="en-US" w:eastAsia="zh-CN"/>
              </w:rPr>
              <w:t>生产加工，属于国民经济目录中</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C2929 塑料零件及其他塑料制品制造</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，对应《环境影响评价技术导则土壤环境（试行）》（</w:t>
            </w:r>
            <w:r>
              <w:rPr>
                <w:rFonts w:hint="eastAsia" w:ascii="Times New Roman" w:hAnsi="Times New Roman" w:eastAsia="宋体" w:cs="Times New Roman"/>
                <w:sz w:val="24"/>
                <w:szCs w:val="24"/>
                <w:highlight w:val="none"/>
                <w:lang w:val="en-US" w:eastAsia="zh-CN"/>
              </w:rPr>
              <w:t>HJ 964-2018</w:t>
            </w:r>
            <w:r>
              <w:rPr>
                <w:rFonts w:hint="default" w:ascii="Times New Roman" w:hAnsi="Times New Roman" w:eastAsia="宋体" w:cs="Times New Roman"/>
                <w:sz w:val="24"/>
                <w:szCs w:val="24"/>
                <w:highlight w:val="none"/>
                <w:lang w:val="en-US" w:eastAsia="zh-CN"/>
              </w:rPr>
              <w:t>）中附录A土壤环境影响评价项目类别的</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设备制造、金属制品、汽车制造及其他用品制造</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其他</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，项目类别为Ⅲ类。本项目占地规模为小型占地规模（≤5hm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val="en-US" w:eastAsia="zh-CN"/>
              </w:rPr>
              <w:t>），根据《环境影响评价技术导则土壤环境（试行）》（</w:t>
            </w:r>
            <w:r>
              <w:rPr>
                <w:rFonts w:hint="eastAsia" w:ascii="Times New Roman" w:hAnsi="Times New Roman" w:eastAsia="宋体" w:cs="Times New Roman"/>
                <w:sz w:val="24"/>
                <w:szCs w:val="24"/>
                <w:highlight w:val="none"/>
                <w:lang w:val="en-US" w:eastAsia="zh-CN"/>
              </w:rPr>
              <w:t>HJ 964-2018</w:t>
            </w:r>
            <w:r>
              <w:rPr>
                <w:rFonts w:hint="default" w:ascii="Times New Roman" w:hAnsi="Times New Roman" w:eastAsia="宋体" w:cs="Times New Roman"/>
                <w:sz w:val="24"/>
                <w:szCs w:val="24"/>
                <w:highlight w:val="none"/>
                <w:lang w:val="en-US" w:eastAsia="zh-CN"/>
              </w:rPr>
              <w:t>）中</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6.2.2 污染影响型</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，即表3</w:t>
            </w:r>
            <w:r>
              <w:rPr>
                <w:rFonts w:hint="eastAsia" w:ascii="Times New Roman" w:hAnsi="Times New Roman" w:eastAsia="宋体" w:cs="Times New Roman"/>
                <w:sz w:val="24"/>
                <w:szCs w:val="24"/>
                <w:highlight w:val="none"/>
                <w:lang w:val="en-US" w:eastAsia="zh-CN"/>
              </w:rPr>
              <w:t>.6-1</w:t>
            </w:r>
            <w:r>
              <w:rPr>
                <w:rFonts w:hint="default" w:ascii="Times New Roman" w:hAnsi="Times New Roman" w:eastAsia="宋体" w:cs="Times New Roman"/>
                <w:sz w:val="24"/>
                <w:szCs w:val="24"/>
                <w:highlight w:val="none"/>
                <w:lang w:val="en-US" w:eastAsia="zh-CN"/>
              </w:rPr>
              <w:t>判定，项目属于不敏感程度；参照表3</w:t>
            </w:r>
            <w:r>
              <w:rPr>
                <w:rFonts w:hint="eastAsia" w:ascii="Times New Roman" w:hAnsi="Times New Roman" w:eastAsia="宋体" w:cs="Times New Roman"/>
                <w:sz w:val="24"/>
                <w:szCs w:val="24"/>
                <w:highlight w:val="none"/>
                <w:lang w:val="en-US" w:eastAsia="zh-CN"/>
              </w:rPr>
              <w:t>.6-2</w:t>
            </w:r>
            <w:r>
              <w:rPr>
                <w:rFonts w:hint="default" w:ascii="Times New Roman" w:hAnsi="Times New Roman" w:eastAsia="宋体" w:cs="Times New Roman"/>
                <w:sz w:val="24"/>
                <w:szCs w:val="24"/>
                <w:highlight w:val="none"/>
                <w:lang w:val="en-US" w:eastAsia="zh-CN"/>
              </w:rPr>
              <w:t>判定。</w:t>
            </w:r>
          </w:p>
          <w:p w14:paraId="2D336AE5">
            <w:pPr>
              <w:spacing w:line="360" w:lineRule="auto"/>
              <w:jc w:val="center"/>
              <w:rPr>
                <w:rFonts w:hint="default" w:ascii="Times New Roman" w:hAnsi="Times New Roman" w:cs="Times New Roman"/>
                <w:b/>
                <w:bCs/>
                <w:color w:val="000000"/>
                <w:kern w:val="0"/>
                <w:sz w:val="24"/>
                <w:szCs w:val="20"/>
                <w:highlight w:val="none"/>
              </w:rPr>
            </w:pPr>
            <w:r>
              <w:rPr>
                <w:rFonts w:hint="default" w:ascii="Times New Roman" w:hAnsi="Times New Roman" w:cs="Times New Roman"/>
                <w:b/>
                <w:bCs/>
                <w:color w:val="000000"/>
                <w:kern w:val="0"/>
                <w:sz w:val="24"/>
                <w:szCs w:val="20"/>
                <w:highlight w:val="none"/>
              </w:rPr>
              <w:t>表3</w:t>
            </w:r>
            <w:r>
              <w:rPr>
                <w:rFonts w:hint="eastAsia" w:ascii="Times New Roman" w:hAnsi="Times New Roman" w:eastAsia="宋体" w:cs="Times New Roman"/>
                <w:b/>
                <w:bCs/>
                <w:color w:val="000000"/>
                <w:kern w:val="0"/>
                <w:sz w:val="24"/>
                <w:szCs w:val="20"/>
                <w:highlight w:val="none"/>
                <w:lang w:val="en-US" w:eastAsia="zh-CN"/>
              </w:rPr>
              <w:t>.6-1</w:t>
            </w:r>
            <w:r>
              <w:rPr>
                <w:rFonts w:hint="default" w:ascii="Times New Roman" w:hAnsi="Times New Roman" w:cs="Times New Roman"/>
                <w:b/>
                <w:bCs/>
                <w:color w:val="000000"/>
                <w:kern w:val="0"/>
                <w:sz w:val="24"/>
                <w:szCs w:val="20"/>
                <w:highlight w:val="none"/>
              </w:rPr>
              <w:t xml:space="preserve"> </w:t>
            </w:r>
            <w:r>
              <w:rPr>
                <w:rFonts w:hint="default" w:ascii="Times New Roman" w:hAnsi="Times New Roman" w:cs="Times New Roman"/>
                <w:b/>
                <w:bCs/>
                <w:color w:val="000000"/>
                <w:sz w:val="24"/>
                <w:highlight w:val="none"/>
              </w:rPr>
              <w:t>污染影响型敏感程度分级表</w:t>
            </w:r>
          </w:p>
          <w:tbl>
            <w:tblPr>
              <w:tblStyle w:val="17"/>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6724"/>
            </w:tblGrid>
            <w:tr w14:paraId="238C00C8">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06" w:type="dxa"/>
                  <w:tcBorders>
                    <w:top w:val="single" w:color="auto" w:sz="12" w:space="0"/>
                  </w:tcBorders>
                  <w:noWrap w:val="0"/>
                  <w:vAlign w:val="center"/>
                </w:tcPr>
                <w:p w14:paraId="2E8F1834">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敏感程度</w:t>
                  </w:r>
                </w:p>
              </w:tc>
              <w:tc>
                <w:tcPr>
                  <w:tcW w:w="6724" w:type="dxa"/>
                  <w:tcBorders>
                    <w:top w:val="single" w:color="auto" w:sz="12" w:space="0"/>
                  </w:tcBorders>
                  <w:noWrap w:val="0"/>
                  <w:vAlign w:val="center"/>
                </w:tcPr>
                <w:p w14:paraId="297C50AA">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判别依据</w:t>
                  </w:r>
                </w:p>
              </w:tc>
            </w:tr>
            <w:tr w14:paraId="008EBE51">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noWrap w:val="0"/>
                  <w:vAlign w:val="center"/>
                </w:tcPr>
                <w:p w14:paraId="0ECD2A68">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rPr>
                    <w:t>敏感</w:t>
                  </w:r>
                </w:p>
              </w:tc>
              <w:tc>
                <w:tcPr>
                  <w:tcW w:w="6724" w:type="dxa"/>
                  <w:noWrap w:val="0"/>
                  <w:vAlign w:val="center"/>
                </w:tcPr>
                <w:p w14:paraId="7EE15CCD">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建设项目周边存在耕地、园地、牧草地、饮用水水源地或居民区</w:t>
                  </w:r>
                </w:p>
              </w:tc>
            </w:tr>
            <w:tr w14:paraId="2FC26A5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noWrap w:val="0"/>
                  <w:vAlign w:val="center"/>
                </w:tcPr>
                <w:p w14:paraId="4138FE24">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较敏感</w:t>
                  </w:r>
                </w:p>
              </w:tc>
              <w:tc>
                <w:tcPr>
                  <w:tcW w:w="6724" w:type="dxa"/>
                  <w:noWrap w:val="0"/>
                  <w:vAlign w:val="center"/>
                </w:tcPr>
                <w:p w14:paraId="643B880F">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建设项目周边存在其他土壤环境敏感目标的</w:t>
                  </w:r>
                </w:p>
              </w:tc>
            </w:tr>
            <w:tr w14:paraId="7709961C">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tcBorders>
                    <w:bottom w:val="single" w:color="auto" w:sz="12" w:space="0"/>
                  </w:tcBorders>
                  <w:noWrap w:val="0"/>
                  <w:vAlign w:val="center"/>
                </w:tcPr>
                <w:p w14:paraId="0DA20C5C">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不敏感</w:t>
                  </w:r>
                </w:p>
              </w:tc>
              <w:tc>
                <w:tcPr>
                  <w:tcW w:w="6724" w:type="dxa"/>
                  <w:tcBorders>
                    <w:bottom w:val="single" w:color="auto" w:sz="12" w:space="0"/>
                  </w:tcBorders>
                  <w:noWrap w:val="0"/>
                  <w:vAlign w:val="center"/>
                </w:tcPr>
                <w:p w14:paraId="251EFFF8">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其他情况</w:t>
                  </w:r>
                </w:p>
              </w:tc>
            </w:tr>
          </w:tbl>
          <w:p w14:paraId="7C06D841">
            <w:pPr>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kern w:val="0"/>
                <w:sz w:val="24"/>
                <w:szCs w:val="20"/>
                <w:highlight w:val="none"/>
              </w:rPr>
              <w:t>表3</w:t>
            </w:r>
            <w:r>
              <w:rPr>
                <w:rFonts w:hint="eastAsia" w:ascii="Times New Roman" w:hAnsi="Times New Roman" w:eastAsia="宋体" w:cs="Times New Roman"/>
                <w:b/>
                <w:bCs/>
                <w:color w:val="000000"/>
                <w:kern w:val="0"/>
                <w:sz w:val="24"/>
                <w:szCs w:val="20"/>
                <w:highlight w:val="none"/>
                <w:lang w:val="en-US" w:eastAsia="zh-CN"/>
              </w:rPr>
              <w:t>.6-2</w:t>
            </w:r>
            <w:r>
              <w:rPr>
                <w:rFonts w:hint="default" w:ascii="Times New Roman" w:hAnsi="Times New Roman" w:cs="Times New Roman"/>
                <w:b/>
                <w:bCs/>
                <w:color w:val="000000"/>
                <w:kern w:val="0"/>
                <w:sz w:val="24"/>
                <w:szCs w:val="20"/>
                <w:highlight w:val="none"/>
              </w:rPr>
              <w:t xml:space="preserve"> </w:t>
            </w:r>
            <w:r>
              <w:rPr>
                <w:rFonts w:hint="default" w:ascii="Times New Roman" w:hAnsi="Times New Roman" w:cs="Times New Roman"/>
                <w:b/>
                <w:bCs/>
                <w:color w:val="000000"/>
                <w:sz w:val="24"/>
                <w:highlight w:val="none"/>
              </w:rPr>
              <w:t>污染影响评价工作等级划分表</w:t>
            </w:r>
          </w:p>
          <w:tbl>
            <w:tblPr>
              <w:tblStyle w:val="17"/>
              <w:tblW w:w="8214"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707"/>
              <w:gridCol w:w="675"/>
              <w:gridCol w:w="705"/>
              <w:gridCol w:w="645"/>
              <w:gridCol w:w="660"/>
              <w:gridCol w:w="675"/>
              <w:gridCol w:w="660"/>
              <w:gridCol w:w="795"/>
              <w:gridCol w:w="1286"/>
            </w:tblGrid>
            <w:tr w14:paraId="426C9FE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406" w:type="dxa"/>
                  <w:vMerge w:val="restart"/>
                  <w:tcBorders>
                    <w:top w:val="single" w:color="auto" w:sz="12" w:space="0"/>
                  </w:tcBorders>
                  <w:noWrap w:val="0"/>
                  <w:vAlign w:val="center"/>
                </w:tcPr>
                <w:p w14:paraId="374917C6">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类别</w:t>
                  </w:r>
                </w:p>
              </w:tc>
              <w:tc>
                <w:tcPr>
                  <w:tcW w:w="2087" w:type="dxa"/>
                  <w:gridSpan w:val="3"/>
                  <w:tcBorders>
                    <w:top w:val="single" w:color="auto" w:sz="12" w:space="0"/>
                  </w:tcBorders>
                  <w:noWrap w:val="0"/>
                  <w:vAlign w:val="center"/>
                </w:tcPr>
                <w:p w14:paraId="075C2ED0">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rPr>
                    <w:t>Ⅰ类</w:t>
                  </w:r>
                </w:p>
              </w:tc>
              <w:tc>
                <w:tcPr>
                  <w:tcW w:w="1980" w:type="dxa"/>
                  <w:gridSpan w:val="3"/>
                  <w:tcBorders>
                    <w:top w:val="single" w:color="auto" w:sz="12" w:space="0"/>
                  </w:tcBorders>
                  <w:noWrap w:val="0"/>
                  <w:vAlign w:val="center"/>
                </w:tcPr>
                <w:p w14:paraId="050443B3">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rPr>
                    <w:t>Ⅱ类</w:t>
                  </w:r>
                </w:p>
              </w:tc>
              <w:tc>
                <w:tcPr>
                  <w:tcW w:w="2741" w:type="dxa"/>
                  <w:gridSpan w:val="3"/>
                  <w:tcBorders>
                    <w:top w:val="single" w:color="auto" w:sz="12" w:space="0"/>
                  </w:tcBorders>
                  <w:noWrap w:val="0"/>
                  <w:vAlign w:val="center"/>
                </w:tcPr>
                <w:p w14:paraId="3E838EC7">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rPr>
                    <w:t>Ⅲ类</w:t>
                  </w:r>
                </w:p>
              </w:tc>
            </w:tr>
            <w:tr w14:paraId="57A8D78D">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06" w:type="dxa"/>
                  <w:vMerge w:val="continue"/>
                  <w:noWrap w:val="0"/>
                  <w:vAlign w:val="center"/>
                </w:tcPr>
                <w:p w14:paraId="208C7F47">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p>
              </w:tc>
              <w:tc>
                <w:tcPr>
                  <w:tcW w:w="707" w:type="dxa"/>
                  <w:noWrap w:val="0"/>
                  <w:vAlign w:val="center"/>
                </w:tcPr>
                <w:p w14:paraId="7599F1D0">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大</w:t>
                  </w:r>
                </w:p>
              </w:tc>
              <w:tc>
                <w:tcPr>
                  <w:tcW w:w="675" w:type="dxa"/>
                  <w:noWrap w:val="0"/>
                  <w:vAlign w:val="center"/>
                </w:tcPr>
                <w:p w14:paraId="413660BE">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中</w:t>
                  </w:r>
                </w:p>
              </w:tc>
              <w:tc>
                <w:tcPr>
                  <w:tcW w:w="705" w:type="dxa"/>
                  <w:noWrap w:val="0"/>
                  <w:vAlign w:val="center"/>
                </w:tcPr>
                <w:p w14:paraId="10CA7E6B">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小</w:t>
                  </w:r>
                </w:p>
              </w:tc>
              <w:tc>
                <w:tcPr>
                  <w:tcW w:w="645" w:type="dxa"/>
                  <w:noWrap w:val="0"/>
                  <w:vAlign w:val="center"/>
                </w:tcPr>
                <w:p w14:paraId="315F5CAD">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大</w:t>
                  </w:r>
                </w:p>
              </w:tc>
              <w:tc>
                <w:tcPr>
                  <w:tcW w:w="660" w:type="dxa"/>
                  <w:noWrap w:val="0"/>
                  <w:vAlign w:val="center"/>
                </w:tcPr>
                <w:p w14:paraId="1388634A">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中</w:t>
                  </w:r>
                </w:p>
              </w:tc>
              <w:tc>
                <w:tcPr>
                  <w:tcW w:w="675" w:type="dxa"/>
                  <w:noWrap w:val="0"/>
                  <w:vAlign w:val="center"/>
                </w:tcPr>
                <w:p w14:paraId="6D8CFA9B">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小</w:t>
                  </w:r>
                </w:p>
              </w:tc>
              <w:tc>
                <w:tcPr>
                  <w:tcW w:w="660" w:type="dxa"/>
                  <w:noWrap w:val="0"/>
                  <w:vAlign w:val="center"/>
                </w:tcPr>
                <w:p w14:paraId="7DED18BA">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大</w:t>
                  </w:r>
                </w:p>
              </w:tc>
              <w:tc>
                <w:tcPr>
                  <w:tcW w:w="795" w:type="dxa"/>
                  <w:noWrap w:val="0"/>
                  <w:vAlign w:val="center"/>
                </w:tcPr>
                <w:p w14:paraId="0E63C706">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中</w:t>
                  </w:r>
                </w:p>
              </w:tc>
              <w:tc>
                <w:tcPr>
                  <w:tcW w:w="1286" w:type="dxa"/>
                  <w:noWrap w:val="0"/>
                  <w:vAlign w:val="center"/>
                </w:tcPr>
                <w:p w14:paraId="58639DAF">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小</w:t>
                  </w:r>
                </w:p>
              </w:tc>
            </w:tr>
            <w:tr w14:paraId="08A27072">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06" w:type="dxa"/>
                  <w:noWrap w:val="0"/>
                  <w:vAlign w:val="center"/>
                </w:tcPr>
                <w:p w14:paraId="41E54C02">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highlight w:val="none"/>
                      <w:lang w:val="en-US" w:eastAsia="zh-CN"/>
                    </w:rPr>
                    <w:t>敏感</w:t>
                  </w:r>
                </w:p>
              </w:tc>
              <w:tc>
                <w:tcPr>
                  <w:tcW w:w="707" w:type="dxa"/>
                  <w:noWrap w:val="0"/>
                  <w:vAlign w:val="center"/>
                </w:tcPr>
                <w:p w14:paraId="7E6E6AF2">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一级</w:t>
                  </w:r>
                </w:p>
              </w:tc>
              <w:tc>
                <w:tcPr>
                  <w:tcW w:w="675" w:type="dxa"/>
                  <w:noWrap w:val="0"/>
                  <w:vAlign w:val="center"/>
                </w:tcPr>
                <w:p w14:paraId="64206277">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一级</w:t>
                  </w:r>
                </w:p>
              </w:tc>
              <w:tc>
                <w:tcPr>
                  <w:tcW w:w="705" w:type="dxa"/>
                  <w:noWrap w:val="0"/>
                  <w:vAlign w:val="center"/>
                </w:tcPr>
                <w:p w14:paraId="375D408C">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一级</w:t>
                  </w:r>
                </w:p>
              </w:tc>
              <w:tc>
                <w:tcPr>
                  <w:tcW w:w="645" w:type="dxa"/>
                  <w:noWrap w:val="0"/>
                  <w:vAlign w:val="center"/>
                </w:tcPr>
                <w:p w14:paraId="2BF74BD3">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二级</w:t>
                  </w:r>
                </w:p>
              </w:tc>
              <w:tc>
                <w:tcPr>
                  <w:tcW w:w="660" w:type="dxa"/>
                  <w:noWrap w:val="0"/>
                  <w:vAlign w:val="center"/>
                </w:tcPr>
                <w:p w14:paraId="728DB371">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二级</w:t>
                  </w:r>
                </w:p>
              </w:tc>
              <w:tc>
                <w:tcPr>
                  <w:tcW w:w="675" w:type="dxa"/>
                  <w:noWrap w:val="0"/>
                  <w:vAlign w:val="center"/>
                </w:tcPr>
                <w:p w14:paraId="419DD031">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三级</w:t>
                  </w:r>
                </w:p>
              </w:tc>
              <w:tc>
                <w:tcPr>
                  <w:tcW w:w="660" w:type="dxa"/>
                  <w:noWrap w:val="0"/>
                  <w:vAlign w:val="center"/>
                </w:tcPr>
                <w:p w14:paraId="086DE6B7">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三级</w:t>
                  </w:r>
                </w:p>
              </w:tc>
              <w:tc>
                <w:tcPr>
                  <w:tcW w:w="795" w:type="dxa"/>
                  <w:noWrap w:val="0"/>
                  <w:vAlign w:val="center"/>
                </w:tcPr>
                <w:p w14:paraId="61197FED">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三级</w:t>
                  </w:r>
                </w:p>
              </w:tc>
              <w:tc>
                <w:tcPr>
                  <w:tcW w:w="1286" w:type="dxa"/>
                  <w:noWrap w:val="0"/>
                  <w:vAlign w:val="center"/>
                </w:tcPr>
                <w:p w14:paraId="6CB151C0">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三级</w:t>
                  </w:r>
                </w:p>
              </w:tc>
            </w:tr>
            <w:tr w14:paraId="379914BF">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noWrap w:val="0"/>
                  <w:vAlign w:val="center"/>
                </w:tcPr>
                <w:p w14:paraId="0A4AFCA6">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较敏感</w:t>
                  </w:r>
                </w:p>
              </w:tc>
              <w:tc>
                <w:tcPr>
                  <w:tcW w:w="707" w:type="dxa"/>
                  <w:noWrap w:val="0"/>
                  <w:vAlign w:val="center"/>
                </w:tcPr>
                <w:p w14:paraId="294C34EA">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一级</w:t>
                  </w:r>
                </w:p>
              </w:tc>
              <w:tc>
                <w:tcPr>
                  <w:tcW w:w="675" w:type="dxa"/>
                  <w:noWrap w:val="0"/>
                  <w:vAlign w:val="center"/>
                </w:tcPr>
                <w:p w14:paraId="3D062CBA">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一级</w:t>
                  </w:r>
                </w:p>
              </w:tc>
              <w:tc>
                <w:tcPr>
                  <w:tcW w:w="705" w:type="dxa"/>
                  <w:noWrap w:val="0"/>
                  <w:vAlign w:val="center"/>
                </w:tcPr>
                <w:p w14:paraId="46E455AF">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二级</w:t>
                  </w:r>
                </w:p>
              </w:tc>
              <w:tc>
                <w:tcPr>
                  <w:tcW w:w="645" w:type="dxa"/>
                  <w:noWrap w:val="0"/>
                  <w:vAlign w:val="center"/>
                </w:tcPr>
                <w:p w14:paraId="2A6091E8">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二级</w:t>
                  </w:r>
                </w:p>
              </w:tc>
              <w:tc>
                <w:tcPr>
                  <w:tcW w:w="660" w:type="dxa"/>
                  <w:noWrap w:val="0"/>
                  <w:vAlign w:val="center"/>
                </w:tcPr>
                <w:p w14:paraId="57CF0ACE">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三级</w:t>
                  </w:r>
                </w:p>
              </w:tc>
              <w:tc>
                <w:tcPr>
                  <w:tcW w:w="675" w:type="dxa"/>
                  <w:noWrap w:val="0"/>
                  <w:vAlign w:val="center"/>
                </w:tcPr>
                <w:p w14:paraId="5F91D204">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660" w:type="dxa"/>
                  <w:noWrap w:val="0"/>
                  <w:vAlign w:val="center"/>
                </w:tcPr>
                <w:p w14:paraId="69C6A00C">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795" w:type="dxa"/>
                  <w:noWrap w:val="0"/>
                  <w:vAlign w:val="center"/>
                </w:tcPr>
                <w:p w14:paraId="001196DD">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1286" w:type="dxa"/>
                  <w:noWrap w:val="0"/>
                  <w:vAlign w:val="center"/>
                </w:tcPr>
                <w:p w14:paraId="00AEB2A9">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eastAsia="zh-CN"/>
                    </w:rPr>
                    <w:t>—</w:t>
                  </w:r>
                </w:p>
              </w:tc>
            </w:tr>
            <w:tr w14:paraId="1984E464">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6" w:type="dxa"/>
                  <w:noWrap w:val="0"/>
                  <w:vAlign w:val="center"/>
                </w:tcPr>
                <w:p w14:paraId="3B0D7716">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不敏感</w:t>
                  </w:r>
                </w:p>
              </w:tc>
              <w:tc>
                <w:tcPr>
                  <w:tcW w:w="707" w:type="dxa"/>
                  <w:noWrap w:val="0"/>
                  <w:vAlign w:val="center"/>
                </w:tcPr>
                <w:p w14:paraId="190F45F7">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一级</w:t>
                  </w:r>
                </w:p>
              </w:tc>
              <w:tc>
                <w:tcPr>
                  <w:tcW w:w="675" w:type="dxa"/>
                  <w:noWrap w:val="0"/>
                  <w:vAlign w:val="center"/>
                </w:tcPr>
                <w:p w14:paraId="4B3FD5A1">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二级</w:t>
                  </w:r>
                </w:p>
              </w:tc>
              <w:tc>
                <w:tcPr>
                  <w:tcW w:w="705" w:type="dxa"/>
                  <w:noWrap w:val="0"/>
                  <w:vAlign w:val="center"/>
                </w:tcPr>
                <w:p w14:paraId="21917762">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二级</w:t>
                  </w:r>
                </w:p>
              </w:tc>
              <w:tc>
                <w:tcPr>
                  <w:tcW w:w="645" w:type="dxa"/>
                  <w:noWrap w:val="0"/>
                  <w:vAlign w:val="center"/>
                </w:tcPr>
                <w:p w14:paraId="46C06B83">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660" w:type="dxa"/>
                  <w:noWrap w:val="0"/>
                  <w:vAlign w:val="center"/>
                </w:tcPr>
                <w:p w14:paraId="0CB31D82">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675" w:type="dxa"/>
                  <w:noWrap w:val="0"/>
                  <w:vAlign w:val="center"/>
                </w:tcPr>
                <w:p w14:paraId="697B090C">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660" w:type="dxa"/>
                  <w:noWrap w:val="0"/>
                  <w:vAlign w:val="center"/>
                </w:tcPr>
                <w:p w14:paraId="710FDC40">
                  <w:pPr>
                    <w:pStyle w:val="28"/>
                    <w:tabs>
                      <w:tab w:val="left" w:pos="1980"/>
                      <w:tab w:val="left" w:pos="3825"/>
                      <w:tab w:val="left" w:pos="4680"/>
                      <w:tab w:val="clear" w:pos="0"/>
                    </w:tabs>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lang w:val="en-US" w:eastAsia="zh-CN"/>
                    </w:rPr>
                    <w:t>三级</w:t>
                  </w:r>
                </w:p>
              </w:tc>
              <w:tc>
                <w:tcPr>
                  <w:tcW w:w="795" w:type="dxa"/>
                  <w:noWrap w:val="0"/>
                  <w:vAlign w:val="center"/>
                </w:tcPr>
                <w:p w14:paraId="4623C2BF">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eastAsia="zh-CN"/>
                    </w:rPr>
                    <w:t>—</w:t>
                  </w:r>
                </w:p>
              </w:tc>
              <w:tc>
                <w:tcPr>
                  <w:tcW w:w="1286" w:type="dxa"/>
                  <w:noWrap w:val="0"/>
                  <w:vAlign w:val="center"/>
                </w:tcPr>
                <w:p w14:paraId="78D8C4BA">
                  <w:pPr>
                    <w:pStyle w:val="28"/>
                    <w:tabs>
                      <w:tab w:val="left" w:pos="1980"/>
                      <w:tab w:val="left" w:pos="3825"/>
                      <w:tab w:val="left" w:pos="4680"/>
                      <w:tab w:val="clear" w:pos="0"/>
                    </w:tabs>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eastAsia="zh-CN"/>
                    </w:rPr>
                    <w:t>—</w:t>
                  </w:r>
                </w:p>
              </w:tc>
            </w:tr>
            <w:tr w14:paraId="7CD9848E">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14" w:type="dxa"/>
                  <w:gridSpan w:val="10"/>
                  <w:tcBorders>
                    <w:bottom w:val="single" w:color="auto" w:sz="12" w:space="0"/>
                  </w:tcBorders>
                  <w:noWrap w:val="0"/>
                  <w:vAlign w:val="center"/>
                </w:tcPr>
                <w:p w14:paraId="399D760D">
                  <w:pPr>
                    <w:pStyle w:val="28"/>
                    <w:tabs>
                      <w:tab w:val="left" w:pos="1980"/>
                      <w:tab w:val="left" w:pos="3825"/>
                      <w:tab w:val="left" w:pos="4680"/>
                      <w:tab w:val="clear" w:pos="0"/>
                    </w:tabs>
                    <w:spacing w:line="340" w:lineRule="exact"/>
                    <w:jc w:val="left"/>
                    <w:rPr>
                      <w:rFonts w:hint="default" w:ascii="Times New Roman" w:hAnsi="Times New Roman" w:cs="Times New Roman"/>
                      <w:color w:val="000000"/>
                      <w:highlight w:val="none"/>
                      <w:lang w:eastAsia="zh-CN"/>
                    </w:rPr>
                  </w:pPr>
                  <w:r>
                    <w:rPr>
                      <w:rFonts w:hint="default" w:ascii="Times New Roman" w:hAnsi="Times New Roman" w:cs="Times New Roman"/>
                      <w:color w:val="000000"/>
                      <w:highlight w:val="none"/>
                      <w:lang w:eastAsia="zh-CN"/>
                    </w:rPr>
                    <w:t>注：</w:t>
                  </w:r>
                  <w:r>
                    <w:rPr>
                      <w:rFonts w:hint="eastAsia" w:ascii="Times New Roman" w:hAnsi="Times New Roman" w:cs="Times New Roman"/>
                      <w:color w:val="000000"/>
                      <w:highlight w:val="none"/>
                      <w:lang w:eastAsia="zh-CN"/>
                    </w:rPr>
                    <w:t>“</w:t>
                  </w:r>
                  <w:r>
                    <w:rPr>
                      <w:rFonts w:hint="default" w:ascii="Times New Roman" w:hAnsi="Times New Roman" w:cs="Times New Roman"/>
                      <w:color w:val="000000"/>
                      <w:highlight w:val="none"/>
                      <w:lang w:eastAsia="zh-CN"/>
                    </w:rPr>
                    <w:t>—</w:t>
                  </w:r>
                  <w:r>
                    <w:rPr>
                      <w:rFonts w:hint="eastAsia" w:ascii="Times New Roman" w:hAnsi="Times New Roman" w:cs="Times New Roman"/>
                      <w:color w:val="000000"/>
                      <w:highlight w:val="none"/>
                      <w:lang w:eastAsia="zh-CN"/>
                    </w:rPr>
                    <w:t>”</w:t>
                  </w:r>
                  <w:r>
                    <w:rPr>
                      <w:rFonts w:hint="default" w:ascii="Times New Roman" w:hAnsi="Times New Roman" w:cs="Times New Roman"/>
                      <w:color w:val="000000"/>
                      <w:highlight w:val="none"/>
                      <w:lang w:eastAsia="zh-CN"/>
                    </w:rPr>
                    <w:t>表示可不开展土壤环境影响评价工作。</w:t>
                  </w:r>
                </w:p>
              </w:tc>
            </w:tr>
          </w:tbl>
          <w:p w14:paraId="0D35B99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根据现场调查，本项目在现有厂房内进行建设，且已做好地面硬底化防渗措施，基本无土壤污染途径</w:t>
            </w:r>
            <w:r>
              <w:rPr>
                <w:rFonts w:hint="eastAsia" w:ascii="Times New Roman" w:hAnsi="Times New Roman" w:eastAsia="宋体" w:cs="Times New Roman"/>
                <w:sz w:val="24"/>
                <w:szCs w:val="24"/>
                <w:highlight w:val="none"/>
                <w:lang w:val="en-US" w:eastAsia="zh-CN"/>
              </w:rPr>
              <w:t>。故而，</w:t>
            </w:r>
            <w:r>
              <w:rPr>
                <w:rFonts w:hint="default" w:ascii="Times New Roman" w:hAnsi="Times New Roman" w:eastAsia="宋体" w:cs="Times New Roman"/>
                <w:sz w:val="24"/>
                <w:szCs w:val="24"/>
                <w:highlight w:val="none"/>
                <w:lang w:val="en-US" w:eastAsia="zh-CN"/>
              </w:rPr>
              <w:t>本项目可不开展土壤环境影响评价工作。</w:t>
            </w:r>
          </w:p>
          <w:p w14:paraId="2ECDBBB3">
            <w:pPr>
              <w:spacing w:line="360" w:lineRule="auto"/>
              <w:rPr>
                <w:rFonts w:hint="default" w:ascii="Times New Roman" w:hAnsi="Times New Roman" w:eastAsia="宋体" w:cs="Times New Roman"/>
                <w:b/>
                <w:bCs/>
                <w:color w:val="000000"/>
                <w:kern w:val="0"/>
                <w:sz w:val="28"/>
                <w:szCs w:val="21"/>
                <w:highlight w:val="none"/>
                <w:lang w:val="en-US" w:eastAsia="zh-CN"/>
              </w:rPr>
            </w:pPr>
            <w:r>
              <w:rPr>
                <w:rFonts w:hint="default" w:ascii="Times New Roman" w:hAnsi="Times New Roman" w:eastAsia="宋体" w:cs="Times New Roman"/>
                <w:b/>
                <w:bCs/>
                <w:color w:val="000000"/>
                <w:kern w:val="0"/>
                <w:sz w:val="28"/>
                <w:szCs w:val="21"/>
                <w:highlight w:val="none"/>
                <w:lang w:val="en-US" w:eastAsia="zh-CN"/>
              </w:rPr>
              <w:t>3.7 电磁辐射环境</w:t>
            </w:r>
          </w:p>
          <w:p w14:paraId="4A86D8D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sz w:val="21"/>
                <w:highlight w:val="none"/>
                <w:lang w:val="en-US" w:eastAsia="zh-CN"/>
              </w:rPr>
            </w:pPr>
            <w:r>
              <w:rPr>
                <w:rFonts w:hint="default" w:ascii="Times New Roman" w:hAnsi="Times New Roman" w:eastAsia="宋体" w:cs="Times New Roman"/>
                <w:sz w:val="24"/>
                <w:szCs w:val="24"/>
                <w:highlight w:val="none"/>
                <w:lang w:val="en-US" w:eastAsia="zh-CN"/>
              </w:rPr>
              <w:t>新建或改建、扩建广播电台、差转台、电视塔台、卫星地球上行站、雷达等电磁辐射类项目，应根据相关技术导则要求对项目电磁辐射现状开展监测与评价</w:t>
            </w:r>
            <w:r>
              <w:rPr>
                <w:rFonts w:hint="eastAsia" w:ascii="Times New Roman" w:hAnsi="Times New Roman" w:eastAsia="宋体" w:cs="Times New Roman"/>
                <w:sz w:val="24"/>
                <w:szCs w:val="24"/>
                <w:highlight w:val="none"/>
                <w:lang w:val="en-US" w:eastAsia="zh-CN"/>
              </w:rPr>
              <w:t>。本</w:t>
            </w:r>
            <w:r>
              <w:rPr>
                <w:rFonts w:hint="default" w:ascii="Times New Roman" w:hAnsi="Times New Roman" w:eastAsia="宋体" w:cs="Times New Roman"/>
                <w:sz w:val="24"/>
                <w:szCs w:val="24"/>
                <w:highlight w:val="none"/>
                <w:lang w:val="en-US" w:eastAsia="zh-CN"/>
              </w:rPr>
              <w:t>项目</w:t>
            </w:r>
            <w:r>
              <w:rPr>
                <w:rFonts w:hint="eastAsia" w:ascii="Times New Roman" w:hAnsi="Times New Roman" w:eastAsia="宋体" w:cs="Times New Roman"/>
                <w:sz w:val="24"/>
                <w:szCs w:val="24"/>
                <w:highlight w:val="none"/>
                <w:lang w:val="en-US" w:eastAsia="zh-CN"/>
              </w:rPr>
              <w:t>主要</w:t>
            </w:r>
            <w:r>
              <w:rPr>
                <w:rFonts w:hint="default" w:ascii="Times New Roman" w:hAnsi="Times New Roman" w:eastAsia="宋体" w:cs="Times New Roman"/>
                <w:sz w:val="24"/>
                <w:szCs w:val="24"/>
                <w:highlight w:val="none"/>
                <w:lang w:val="en-US" w:eastAsia="zh-CN"/>
              </w:rPr>
              <w:t>进行充气床</w:t>
            </w:r>
            <w:r>
              <w:rPr>
                <w:rFonts w:hint="eastAsia" w:ascii="Times New Roman" w:hAnsi="Times New Roman" w:eastAsia="宋体" w:cs="Times New Roman"/>
                <w:sz w:val="24"/>
                <w:szCs w:val="24"/>
                <w:highlight w:val="none"/>
                <w:lang w:val="en-US" w:eastAsia="zh-CN"/>
              </w:rPr>
              <w:t>、露营垫、箱包</w:t>
            </w:r>
            <w:r>
              <w:rPr>
                <w:rFonts w:hint="default" w:ascii="Times New Roman" w:hAnsi="Times New Roman" w:eastAsia="宋体" w:cs="Times New Roman"/>
                <w:sz w:val="24"/>
                <w:szCs w:val="24"/>
                <w:highlight w:val="none"/>
                <w:lang w:val="en-US" w:eastAsia="zh-CN"/>
              </w:rPr>
              <w:t>加工，不属于上述行业，不涉及电磁辐射，无需开展电磁辐射现状监测与评价。</w:t>
            </w:r>
          </w:p>
        </w:tc>
      </w:tr>
      <w:tr w14:paraId="5A46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808" w:type="dxa"/>
            <w:tcBorders>
              <w:left w:val="single" w:color="000000" w:sz="6" w:space="0"/>
            </w:tcBorders>
            <w:vAlign w:val="center"/>
          </w:tcPr>
          <w:p w14:paraId="3B65E1EA">
            <w:pPr>
              <w:spacing w:before="65" w:line="274" w:lineRule="exact"/>
              <w:ind w:left="209"/>
              <w:rPr>
                <w:rFonts w:ascii="宋体" w:hAnsi="宋体" w:eastAsia="宋体" w:cs="宋体"/>
                <w:sz w:val="20"/>
                <w:szCs w:val="20"/>
                <w:highlight w:val="none"/>
              </w:rPr>
            </w:pPr>
            <w:r>
              <w:rPr>
                <w:rFonts w:ascii="宋体" w:hAnsi="宋体" w:eastAsia="宋体" w:cs="宋体"/>
                <w:spacing w:val="-3"/>
                <w:position w:val="4"/>
                <w:sz w:val="20"/>
                <w:szCs w:val="20"/>
                <w:highlight w:val="none"/>
              </w:rPr>
              <w:t>环境保护目标</w:t>
            </w:r>
          </w:p>
        </w:tc>
        <w:tc>
          <w:tcPr>
            <w:tcW w:w="8186" w:type="dxa"/>
            <w:tcBorders>
              <w:right w:val="single" w:color="000000" w:sz="6" w:space="0"/>
            </w:tcBorders>
            <w:vAlign w:val="top"/>
          </w:tcPr>
          <w:p w14:paraId="1B8DBA67">
            <w:pPr>
              <w:spacing w:line="360" w:lineRule="auto"/>
              <w:rPr>
                <w:rFonts w:hint="eastAsia" w:ascii="Times New Roman" w:hAnsi="Times New Roman" w:eastAsia="宋体" w:cs="Times New Roman"/>
                <w:b/>
                <w:bCs/>
                <w:color w:val="000000"/>
                <w:kern w:val="0"/>
                <w:sz w:val="28"/>
                <w:szCs w:val="21"/>
                <w:highlight w:val="none"/>
                <w:lang w:val="en-US" w:eastAsia="zh-CN"/>
              </w:rPr>
            </w:pPr>
            <w:r>
              <w:rPr>
                <w:rFonts w:hint="eastAsia" w:ascii="Times New Roman" w:hAnsi="Times New Roman" w:eastAsia="宋体" w:cs="Times New Roman"/>
                <w:b/>
                <w:bCs/>
                <w:color w:val="000000"/>
                <w:kern w:val="0"/>
                <w:sz w:val="28"/>
                <w:szCs w:val="21"/>
                <w:highlight w:val="none"/>
                <w:lang w:val="en-US" w:eastAsia="zh-CN"/>
              </w:rPr>
              <w:t>3.8 环境保护目标</w:t>
            </w:r>
          </w:p>
          <w:p w14:paraId="52CEF53D">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szCs w:val="24"/>
                <w:highlight w:val="none"/>
              </w:rPr>
            </w:pPr>
            <w:r>
              <w:rPr>
                <w:rFonts w:hint="default" w:ascii="Times New Roman" w:hAnsi="Times New Roman" w:eastAsia="宋体" w:cs="Times New Roman"/>
                <w:color w:val="000000"/>
                <w:szCs w:val="24"/>
                <w:highlight w:val="none"/>
              </w:rPr>
              <w:t>根据《建设项目环境影响报告表编制技术指南</w:t>
            </w:r>
            <w:r>
              <w:rPr>
                <w:rFonts w:hint="eastAsia"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污染影响类</w:t>
            </w:r>
            <w:r>
              <w:rPr>
                <w:rFonts w:hint="eastAsia"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试行</w:t>
            </w:r>
            <w:r>
              <w:rPr>
                <w:rFonts w:hint="eastAsia"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w:t>
            </w:r>
            <w:r>
              <w:rPr>
                <w:rFonts w:hint="eastAsia" w:ascii="Times New Roman" w:hAnsi="Times New Roman" w:eastAsia="宋体" w:cs="Times New Roman"/>
                <w:color w:val="000000"/>
                <w:szCs w:val="24"/>
                <w:highlight w:val="none"/>
                <w:lang w:eastAsia="zh-CN"/>
              </w:rPr>
              <w:t>（</w:t>
            </w:r>
            <w:r>
              <w:rPr>
                <w:rFonts w:hint="default" w:ascii="Times New Roman" w:hAnsi="Times New Roman" w:eastAsia="宋体" w:cs="Times New Roman"/>
                <w:color w:val="000000"/>
                <w:szCs w:val="24"/>
                <w:highlight w:val="none"/>
              </w:rPr>
              <w:t>环办环评</w:t>
            </w:r>
            <w:r>
              <w:rPr>
                <w:rFonts w:hint="eastAsia" w:ascii="Times New Roman" w:hAnsi="Times New Roman" w:eastAsia="宋体" w:cs="Times New Roman"/>
                <w:color w:val="000000"/>
                <w:szCs w:val="24"/>
                <w:highlight w:val="none"/>
                <w:lang w:eastAsia="zh-CN"/>
              </w:rPr>
              <w:t>〔2020〕33号）</w:t>
            </w:r>
            <w:r>
              <w:rPr>
                <w:rFonts w:hint="default" w:ascii="Times New Roman" w:hAnsi="Times New Roman" w:eastAsia="宋体" w:cs="Times New Roman"/>
                <w:color w:val="000000"/>
                <w:szCs w:val="24"/>
                <w:highlight w:val="none"/>
              </w:rPr>
              <w:t>要求以及对项目周边环境的调查，本项目环境保护目标见表3</w:t>
            </w:r>
            <w:r>
              <w:rPr>
                <w:rFonts w:hint="eastAsia" w:ascii="Times New Roman" w:hAnsi="Times New Roman" w:eastAsia="宋体" w:cs="Times New Roman"/>
                <w:color w:val="000000"/>
                <w:szCs w:val="24"/>
                <w:highlight w:val="none"/>
                <w:lang w:val="en-US" w:eastAsia="zh-CN"/>
              </w:rPr>
              <w:t>.8-1</w:t>
            </w:r>
            <w:r>
              <w:rPr>
                <w:rFonts w:hint="default" w:ascii="Times New Roman" w:hAnsi="Times New Roman" w:eastAsia="宋体" w:cs="Times New Roman"/>
                <w:color w:val="000000"/>
                <w:szCs w:val="24"/>
                <w:highlight w:val="none"/>
              </w:rPr>
              <w:t>和附图</w:t>
            </w:r>
            <w:r>
              <w:rPr>
                <w:rFonts w:hint="eastAsia" w:ascii="Times New Roman" w:hAnsi="Times New Roman" w:eastAsia="宋体" w:cs="Times New Roman"/>
                <w:color w:val="000000"/>
                <w:szCs w:val="24"/>
                <w:highlight w:val="none"/>
                <w:lang w:val="en-US" w:eastAsia="zh-CN"/>
              </w:rPr>
              <w:t>11</w:t>
            </w:r>
            <w:r>
              <w:rPr>
                <w:rFonts w:hint="default" w:ascii="Times New Roman" w:hAnsi="Times New Roman" w:eastAsia="宋体" w:cs="Times New Roman"/>
                <w:color w:val="000000"/>
                <w:szCs w:val="24"/>
                <w:highlight w:val="none"/>
              </w:rPr>
              <w:t>。</w:t>
            </w:r>
          </w:p>
          <w:p w14:paraId="67BD0E87">
            <w:pPr>
              <w:pStyle w:val="14"/>
              <w:widowControl w:val="0"/>
              <w:spacing w:before="0" w:beforeAutospacing="0" w:after="0" w:afterAutospacing="0" w:line="360" w:lineRule="auto"/>
              <w:jc w:val="center"/>
              <w:rPr>
                <w:rFonts w:hint="default" w:ascii="Times New Roman" w:hAnsi="Times New Roman" w:cs="Times New Roman"/>
                <w:b/>
                <w:bCs/>
                <w:color w:val="000000"/>
                <w:szCs w:val="24"/>
                <w:highlight w:val="none"/>
              </w:rPr>
            </w:pPr>
            <w:r>
              <w:rPr>
                <w:rFonts w:hint="default" w:ascii="Times New Roman" w:hAnsi="Times New Roman" w:cs="Times New Roman"/>
                <w:b/>
                <w:bCs/>
                <w:color w:val="000000"/>
                <w:szCs w:val="24"/>
                <w:highlight w:val="none"/>
              </w:rPr>
              <w:t>表3</w:t>
            </w:r>
            <w:r>
              <w:rPr>
                <w:rFonts w:hint="eastAsia" w:ascii="Times New Roman" w:hAnsi="Times New Roman" w:eastAsia="宋体" w:cs="Times New Roman"/>
                <w:b/>
                <w:bCs/>
                <w:color w:val="000000"/>
                <w:szCs w:val="24"/>
                <w:highlight w:val="none"/>
                <w:lang w:val="en-US" w:eastAsia="zh-CN"/>
              </w:rPr>
              <w:t>.8-1</w:t>
            </w:r>
            <w:r>
              <w:rPr>
                <w:rFonts w:hint="default" w:ascii="Times New Roman" w:hAnsi="Times New Roman" w:cs="Times New Roman"/>
                <w:b/>
                <w:bCs/>
                <w:color w:val="000000"/>
                <w:szCs w:val="24"/>
                <w:highlight w:val="none"/>
              </w:rPr>
              <w:t xml:space="preserve"> 环境保护目标一览表</w:t>
            </w:r>
          </w:p>
          <w:tbl>
            <w:tblPr>
              <w:tblStyle w:val="17"/>
              <w:tblW w:w="81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57"/>
              <w:gridCol w:w="1450"/>
              <w:gridCol w:w="786"/>
              <w:gridCol w:w="2760"/>
              <w:gridCol w:w="1572"/>
            </w:tblGrid>
            <w:tr w14:paraId="6C8C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60" w:type="dxa"/>
                  <w:tcBorders>
                    <w:top w:val="single" w:color="auto" w:sz="12" w:space="0"/>
                  </w:tcBorders>
                  <w:noWrap w:val="0"/>
                  <w:vAlign w:val="center"/>
                </w:tcPr>
                <w:p w14:paraId="4BC1AA72">
                  <w:pPr>
                    <w:spacing w:line="340" w:lineRule="exact"/>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Cs w:val="21"/>
                      <w:highlight w:val="none"/>
                    </w:rPr>
                    <w:t>环境</w:t>
                  </w:r>
                  <w:r>
                    <w:rPr>
                      <w:rFonts w:hint="default" w:ascii="Times New Roman" w:hAnsi="Times New Roman" w:eastAsia="宋体" w:cs="Times New Roman"/>
                      <w:b/>
                      <w:bCs/>
                      <w:color w:val="000000"/>
                      <w:sz w:val="21"/>
                      <w:szCs w:val="21"/>
                      <w:highlight w:val="none"/>
                    </w:rPr>
                    <w:t>要素</w:t>
                  </w:r>
                </w:p>
              </w:tc>
              <w:tc>
                <w:tcPr>
                  <w:tcW w:w="757" w:type="dxa"/>
                  <w:tcBorders>
                    <w:top w:val="single" w:color="auto" w:sz="12" w:space="0"/>
                  </w:tcBorders>
                  <w:noWrap w:val="0"/>
                  <w:vAlign w:val="center"/>
                </w:tcPr>
                <w:p w14:paraId="712D1094">
                  <w:pPr>
                    <w:pStyle w:val="14"/>
                    <w:widowControl w:val="0"/>
                    <w:spacing w:before="0" w:beforeAutospacing="0" w:after="0" w:afterAutospacing="0" w:line="340" w:lineRule="exact"/>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保护目标</w:t>
                  </w:r>
                </w:p>
              </w:tc>
              <w:tc>
                <w:tcPr>
                  <w:tcW w:w="1450" w:type="dxa"/>
                  <w:tcBorders>
                    <w:top w:val="single" w:color="auto" w:sz="12" w:space="0"/>
                  </w:tcBorders>
                  <w:noWrap w:val="0"/>
                  <w:vAlign w:val="center"/>
                </w:tcPr>
                <w:p w14:paraId="3A5B3FB4">
                  <w:pPr>
                    <w:spacing w:line="340" w:lineRule="exact"/>
                    <w:jc w:val="center"/>
                    <w:rPr>
                      <w:rFonts w:hint="default" w:ascii="Times New Roman" w:hAnsi="Times New Roman" w:eastAsia="宋体" w:cs="Times New Roman"/>
                      <w:b/>
                      <w:bCs/>
                      <w:color w:val="000000"/>
                      <w:kern w:val="0"/>
                      <w:szCs w:val="21"/>
                      <w:highlight w:val="none"/>
                    </w:rPr>
                  </w:pPr>
                  <w:r>
                    <w:rPr>
                      <w:rFonts w:hint="default" w:ascii="Times New Roman" w:hAnsi="Times New Roman" w:eastAsia="宋体" w:cs="Times New Roman"/>
                      <w:b/>
                      <w:bCs/>
                      <w:color w:val="000000"/>
                      <w:szCs w:val="21"/>
                      <w:highlight w:val="none"/>
                    </w:rPr>
                    <w:t>与</w:t>
                  </w:r>
                  <w:r>
                    <w:rPr>
                      <w:rFonts w:hint="default" w:ascii="Times New Roman" w:hAnsi="Times New Roman" w:eastAsia="宋体" w:cs="Times New Roman"/>
                      <w:b/>
                      <w:bCs/>
                      <w:color w:val="000000"/>
                      <w:szCs w:val="21"/>
                      <w:highlight w:val="none"/>
                      <w:lang w:val="en-US" w:eastAsia="zh-CN"/>
                    </w:rPr>
                    <w:t>厂区最近</w:t>
                  </w:r>
                  <w:r>
                    <w:rPr>
                      <w:rFonts w:hint="default" w:ascii="Times New Roman" w:hAnsi="Times New Roman" w:eastAsia="宋体" w:cs="Times New Roman"/>
                      <w:b/>
                      <w:bCs/>
                      <w:color w:val="000000"/>
                      <w:szCs w:val="21"/>
                      <w:highlight w:val="none"/>
                    </w:rPr>
                    <w:t>距离（m）</w:t>
                  </w:r>
                </w:p>
              </w:tc>
              <w:tc>
                <w:tcPr>
                  <w:tcW w:w="786" w:type="dxa"/>
                  <w:tcBorders>
                    <w:top w:val="single" w:color="auto" w:sz="12" w:space="0"/>
                  </w:tcBorders>
                  <w:noWrap w:val="0"/>
                  <w:vAlign w:val="center"/>
                </w:tcPr>
                <w:p w14:paraId="18B69D7B">
                  <w:pPr>
                    <w:spacing w:line="340" w:lineRule="exact"/>
                    <w:jc w:val="center"/>
                    <w:rPr>
                      <w:rFonts w:hint="default" w:ascii="Times New Roman" w:hAnsi="Times New Roman" w:eastAsia="宋体" w:cs="Times New Roman"/>
                      <w:b/>
                      <w:bCs/>
                      <w:color w:val="000000"/>
                      <w:kern w:val="0"/>
                      <w:szCs w:val="21"/>
                      <w:highlight w:val="none"/>
                    </w:rPr>
                  </w:pPr>
                  <w:r>
                    <w:rPr>
                      <w:rFonts w:hint="default" w:ascii="Times New Roman" w:hAnsi="Times New Roman" w:eastAsia="宋体" w:cs="Times New Roman"/>
                      <w:b/>
                      <w:bCs/>
                      <w:color w:val="000000"/>
                      <w:szCs w:val="21"/>
                      <w:highlight w:val="none"/>
                      <w:lang w:val="en-US" w:eastAsia="zh-CN"/>
                    </w:rPr>
                    <w:t>保护内容</w:t>
                  </w:r>
                </w:p>
              </w:tc>
              <w:tc>
                <w:tcPr>
                  <w:tcW w:w="2760" w:type="dxa"/>
                  <w:tcBorders>
                    <w:top w:val="single" w:color="auto" w:sz="12" w:space="0"/>
                  </w:tcBorders>
                  <w:noWrap w:val="0"/>
                  <w:vAlign w:val="center"/>
                </w:tcPr>
                <w:p w14:paraId="68F74C63">
                  <w:pPr>
                    <w:pStyle w:val="14"/>
                    <w:widowControl w:val="0"/>
                    <w:spacing w:before="0" w:beforeAutospacing="0" w:after="0" w:afterAutospacing="0" w:line="340" w:lineRule="exact"/>
                    <w:jc w:val="center"/>
                    <w:rPr>
                      <w:rFonts w:hint="default" w:ascii="Times New Roman" w:hAnsi="Times New Roman" w:eastAsia="宋体" w:cs="Times New Roman"/>
                      <w:b/>
                      <w:bCs/>
                      <w:color w:val="000000"/>
                      <w:kern w:val="0"/>
                      <w:szCs w:val="21"/>
                      <w:highlight w:val="none"/>
                      <w:lang w:eastAsia="zh-CN"/>
                    </w:rPr>
                  </w:pPr>
                  <w:r>
                    <w:rPr>
                      <w:rFonts w:hint="default" w:ascii="Times New Roman" w:hAnsi="Times New Roman" w:eastAsia="宋体" w:cs="Times New Roman"/>
                      <w:b/>
                      <w:bCs/>
                      <w:color w:val="000000"/>
                      <w:sz w:val="21"/>
                      <w:szCs w:val="21"/>
                      <w:highlight w:val="none"/>
                    </w:rPr>
                    <w:t>保护要求</w:t>
                  </w:r>
                </w:p>
              </w:tc>
              <w:tc>
                <w:tcPr>
                  <w:tcW w:w="1572" w:type="dxa"/>
                  <w:tcBorders>
                    <w:top w:val="single" w:color="auto" w:sz="12" w:space="0"/>
                    <w:right w:val="nil"/>
                  </w:tcBorders>
                  <w:noWrap w:val="0"/>
                  <w:vAlign w:val="center"/>
                </w:tcPr>
                <w:p w14:paraId="32257673">
                  <w:pPr>
                    <w:pStyle w:val="14"/>
                    <w:widowControl w:val="0"/>
                    <w:spacing w:before="0" w:beforeAutospacing="0" w:after="0" w:afterAutospacing="0" w:line="340" w:lineRule="exact"/>
                    <w:jc w:val="center"/>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备注</w:t>
                  </w:r>
                </w:p>
              </w:tc>
            </w:tr>
            <w:tr w14:paraId="07DD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60" w:type="dxa"/>
                  <w:noWrap w:val="0"/>
                  <w:vAlign w:val="center"/>
                </w:tcPr>
                <w:p w14:paraId="3A6AF998">
                  <w:pPr>
                    <w:spacing w:line="340" w:lineRule="exac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Cs w:val="21"/>
                      <w:highlight w:val="none"/>
                    </w:rPr>
                    <w:t>环境</w:t>
                  </w:r>
                  <w:r>
                    <w:rPr>
                      <w:rFonts w:hint="default" w:ascii="Times New Roman" w:hAnsi="Times New Roman" w:cs="Times New Roman"/>
                      <w:color w:val="000000"/>
                      <w:sz w:val="21"/>
                      <w:szCs w:val="21"/>
                      <w:highlight w:val="none"/>
                    </w:rPr>
                    <w:t>空气</w:t>
                  </w:r>
                </w:p>
              </w:tc>
              <w:tc>
                <w:tcPr>
                  <w:tcW w:w="757" w:type="dxa"/>
                  <w:noWrap w:val="0"/>
                  <w:vAlign w:val="center"/>
                </w:tcPr>
                <w:p w14:paraId="67088611">
                  <w:pPr>
                    <w:spacing w:line="340" w:lineRule="exact"/>
                    <w:jc w:val="center"/>
                    <w:rPr>
                      <w:rFonts w:hint="default" w:ascii="Times New Roman" w:hAnsi="Times New Roman" w:eastAsia="宋体" w:cs="Times New Roman"/>
                      <w:color w:val="000000"/>
                      <w:kern w:val="0"/>
                      <w:szCs w:val="21"/>
                      <w:highlight w:val="none"/>
                      <w:lang w:eastAsia="zh-CN"/>
                    </w:rPr>
                  </w:pPr>
                  <w:r>
                    <w:rPr>
                      <w:rFonts w:hint="default" w:ascii="Times New Roman" w:hAnsi="Times New Roman" w:cs="Times New Roman"/>
                      <w:color w:val="000000"/>
                      <w:szCs w:val="21"/>
                      <w:highlight w:val="none"/>
                      <w:lang w:val="en-US" w:eastAsia="zh-CN"/>
                    </w:rPr>
                    <w:t>孔里村</w:t>
                  </w:r>
                </w:p>
              </w:tc>
              <w:tc>
                <w:tcPr>
                  <w:tcW w:w="1450" w:type="dxa"/>
                  <w:noWrap w:val="0"/>
                  <w:vAlign w:val="center"/>
                </w:tcPr>
                <w:p w14:paraId="78D37E5A">
                  <w:pPr>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szCs w:val="21"/>
                      <w:highlight w:val="none"/>
                    </w:rPr>
                    <w:t>东</w:t>
                  </w:r>
                  <w:r>
                    <w:rPr>
                      <w:rFonts w:hint="eastAsia" w:ascii="Times New Roman" w:hAnsi="Times New Roman" w:eastAsia="宋体" w:cs="Times New Roman"/>
                      <w:color w:val="000000"/>
                      <w:szCs w:val="21"/>
                      <w:highlight w:val="none"/>
                      <w:lang w:val="en-US" w:eastAsia="zh-CN"/>
                    </w:rPr>
                    <w:t>南</w:t>
                  </w:r>
                  <w:r>
                    <w:rPr>
                      <w:rFonts w:hint="default" w:ascii="Times New Roman" w:hAnsi="Times New Roman" w:cs="Times New Roman"/>
                      <w:color w:val="000000"/>
                      <w:szCs w:val="21"/>
                      <w:highlight w:val="none"/>
                    </w:rPr>
                    <w:t>侧</w:t>
                  </w:r>
                  <w:r>
                    <w:rPr>
                      <w:rFonts w:hint="eastAsia" w:ascii="Times New Roman" w:hAnsi="Times New Roman" w:eastAsia="宋体" w:cs="Times New Roman"/>
                      <w:color w:val="000000"/>
                      <w:szCs w:val="21"/>
                      <w:highlight w:val="none"/>
                      <w:lang w:val="en-US" w:eastAsia="zh-CN"/>
                    </w:rPr>
                    <w:t>5</w:t>
                  </w:r>
                  <w:r>
                    <w:rPr>
                      <w:rFonts w:hint="default" w:ascii="Times New Roman" w:hAnsi="Times New Roman" w:eastAsia="宋体" w:cs="Times New Roman"/>
                      <w:color w:val="000000"/>
                      <w:szCs w:val="21"/>
                      <w:highlight w:val="none"/>
                      <w:lang w:val="en-US" w:eastAsia="zh-CN"/>
                    </w:rPr>
                    <w:t>5</w:t>
                  </w:r>
                </w:p>
              </w:tc>
              <w:tc>
                <w:tcPr>
                  <w:tcW w:w="786" w:type="dxa"/>
                  <w:noWrap w:val="0"/>
                  <w:vAlign w:val="center"/>
                </w:tcPr>
                <w:p w14:paraId="3CE9A30E">
                  <w:pPr>
                    <w:pStyle w:val="14"/>
                    <w:widowControl w:val="0"/>
                    <w:spacing w:before="0" w:beforeAutospacing="0" w:after="0" w:afterAutospacing="0" w:line="340" w:lineRule="exact"/>
                    <w:jc w:val="center"/>
                    <w:rPr>
                      <w:rFonts w:hint="default" w:ascii="Times New Roman" w:hAnsi="Times New Roman" w:eastAsia="宋体" w:cs="Times New Roman"/>
                      <w:color w:val="000000"/>
                      <w:kern w:val="0"/>
                      <w:szCs w:val="21"/>
                      <w:highlight w:val="none"/>
                      <w:lang w:val="en-US" w:eastAsia="zh-CN"/>
                    </w:rPr>
                  </w:pPr>
                  <w:r>
                    <w:rPr>
                      <w:rFonts w:hint="default" w:ascii="Times New Roman" w:hAnsi="Times New Roman" w:cs="Times New Roman"/>
                      <w:color w:val="000000"/>
                      <w:sz w:val="21"/>
                      <w:szCs w:val="21"/>
                      <w:highlight w:val="none"/>
                      <w:lang w:val="en-US" w:eastAsia="zh-CN"/>
                    </w:rPr>
                    <w:t>居住区</w:t>
                  </w:r>
                </w:p>
              </w:tc>
              <w:tc>
                <w:tcPr>
                  <w:tcW w:w="2760" w:type="dxa"/>
                  <w:noWrap w:val="0"/>
                  <w:vAlign w:val="center"/>
                </w:tcPr>
                <w:p w14:paraId="0C9B30C2">
                  <w:pPr>
                    <w:pStyle w:val="14"/>
                    <w:widowControl w:val="0"/>
                    <w:spacing w:before="0" w:beforeAutospacing="0" w:after="0" w:afterAutospacing="0" w:line="340" w:lineRule="exac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《环境空气质量标准》（</w:t>
                  </w:r>
                  <w:r>
                    <w:rPr>
                      <w:rFonts w:hint="eastAsia" w:ascii="Times New Roman" w:hAnsi="Times New Roman" w:eastAsia="宋体" w:cs="Times New Roman"/>
                      <w:color w:val="000000"/>
                      <w:sz w:val="21"/>
                      <w:szCs w:val="21"/>
                      <w:highlight w:val="none"/>
                      <w:lang w:eastAsia="zh-CN"/>
                    </w:rPr>
                    <w:t>GB 3095-2012</w:t>
                  </w:r>
                  <w:r>
                    <w:rPr>
                      <w:rFonts w:hint="default" w:ascii="Times New Roman" w:hAnsi="Times New Roman" w:cs="Times New Roman"/>
                      <w:color w:val="000000"/>
                      <w:sz w:val="21"/>
                      <w:szCs w:val="21"/>
                      <w:highlight w:val="none"/>
                    </w:rPr>
                    <w:t>）及其修改单中的二级标准</w:t>
                  </w:r>
                  <w:r>
                    <w:rPr>
                      <w:rFonts w:hint="eastAsia" w:ascii="Times New Roman" w:hAnsi="Times New Roman" w:eastAsia="宋体" w:cs="Times New Roman"/>
                      <w:color w:val="000000"/>
                      <w:sz w:val="21"/>
                      <w:szCs w:val="21"/>
                      <w:highlight w:val="none"/>
                      <w:lang w:val="en-US" w:eastAsia="zh-CN"/>
                    </w:rPr>
                    <w:t xml:space="preserve">                                                                                                                                                                                                                                                                                                                                                                                                                                                                                                                                                                                                                                                                </w:t>
                  </w:r>
                </w:p>
              </w:tc>
              <w:tc>
                <w:tcPr>
                  <w:tcW w:w="1572" w:type="dxa"/>
                  <w:tcBorders>
                    <w:right w:val="nil"/>
                  </w:tcBorders>
                  <w:noWrap w:val="0"/>
                  <w:vAlign w:val="center"/>
                </w:tcPr>
                <w:p w14:paraId="6BF8B43E">
                  <w:pPr>
                    <w:pStyle w:val="14"/>
                    <w:widowControl w:val="0"/>
                    <w:spacing w:before="0" w:beforeAutospacing="0" w:after="0" w:afterAutospacing="0" w:line="340" w:lineRule="exac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距项目DA001（29号B栋）180m</w:t>
                  </w:r>
                </w:p>
              </w:tc>
            </w:tr>
            <w:tr w14:paraId="3AA9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noWrap w:val="0"/>
                  <w:vAlign w:val="center"/>
                </w:tcPr>
                <w:p w14:paraId="7ECF3FF2">
                  <w:pPr>
                    <w:pStyle w:val="14"/>
                    <w:widowControl w:val="0"/>
                    <w:spacing w:before="0" w:beforeAutospacing="0" w:after="0" w:afterAutospacing="0" w:line="340" w:lineRule="exac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水环境</w:t>
                  </w:r>
                </w:p>
              </w:tc>
              <w:tc>
                <w:tcPr>
                  <w:tcW w:w="757" w:type="dxa"/>
                  <w:noWrap w:val="0"/>
                  <w:vAlign w:val="center"/>
                </w:tcPr>
                <w:p w14:paraId="37AAC208">
                  <w:pPr>
                    <w:spacing w:line="340" w:lineRule="exact"/>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桃溪</w:t>
                  </w:r>
                </w:p>
              </w:tc>
              <w:tc>
                <w:tcPr>
                  <w:tcW w:w="1450" w:type="dxa"/>
                  <w:noWrap w:val="0"/>
                  <w:vAlign w:val="center"/>
                </w:tcPr>
                <w:p w14:paraId="65855334">
                  <w:pPr>
                    <w:spacing w:line="340" w:lineRule="exact"/>
                    <w:jc w:val="center"/>
                    <w:rPr>
                      <w:rFonts w:hint="default" w:ascii="Times New Roman" w:hAnsi="Times New Roman" w:cs="Times New Roman"/>
                      <w:color w:val="000000"/>
                      <w:szCs w:val="21"/>
                      <w:highlight w:val="none"/>
                    </w:rPr>
                  </w:pPr>
                  <w:r>
                    <w:rPr>
                      <w:rFonts w:hint="eastAsia" w:ascii="Times New Roman" w:hAnsi="Times New Roman" w:eastAsia="宋体" w:cs="Times New Roman"/>
                      <w:color w:val="000000"/>
                      <w:szCs w:val="21"/>
                      <w:highlight w:val="none"/>
                      <w:lang w:val="en-US" w:eastAsia="zh-CN"/>
                    </w:rPr>
                    <w:t>南</w:t>
                  </w:r>
                  <w:r>
                    <w:rPr>
                      <w:rFonts w:hint="default" w:ascii="Times New Roman" w:hAnsi="Times New Roman" w:cs="Times New Roman"/>
                      <w:color w:val="000000"/>
                      <w:szCs w:val="21"/>
                      <w:highlight w:val="none"/>
                    </w:rPr>
                    <w:t>侧</w:t>
                  </w:r>
                  <w:r>
                    <w:rPr>
                      <w:rFonts w:hint="default" w:ascii="Times New Roman" w:hAnsi="Times New Roman" w:cs="Times New Roman"/>
                      <w:color w:val="000000"/>
                      <w:szCs w:val="21"/>
                      <w:highlight w:val="none"/>
                      <w:lang w:val="en-US" w:eastAsia="zh-CN"/>
                    </w:rPr>
                    <w:t>6</w:t>
                  </w:r>
                  <w:r>
                    <w:rPr>
                      <w:rFonts w:hint="eastAsia" w:ascii="Times New Roman" w:hAnsi="Times New Roman" w:cs="Times New Roman"/>
                      <w:color w:val="000000"/>
                      <w:szCs w:val="21"/>
                      <w:highlight w:val="none"/>
                      <w:lang w:val="en-US" w:eastAsia="zh-CN"/>
                    </w:rPr>
                    <w:t>50</w:t>
                  </w:r>
                </w:p>
              </w:tc>
              <w:tc>
                <w:tcPr>
                  <w:tcW w:w="786" w:type="dxa"/>
                  <w:noWrap w:val="0"/>
                  <w:vAlign w:val="center"/>
                </w:tcPr>
                <w:p w14:paraId="4736DB24">
                  <w:pPr>
                    <w:spacing w:line="340" w:lineRule="exact"/>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w:t>
                  </w:r>
                </w:p>
              </w:tc>
              <w:tc>
                <w:tcPr>
                  <w:tcW w:w="2760" w:type="dxa"/>
                  <w:noWrap w:val="0"/>
                  <w:vAlign w:val="center"/>
                </w:tcPr>
                <w:p w14:paraId="7ED8429B">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《地表水环境质量标准》</w:t>
                  </w:r>
                </w:p>
                <w:p w14:paraId="0390E91C">
                  <w:pPr>
                    <w:pStyle w:val="14"/>
                    <w:widowControl w:val="0"/>
                    <w:spacing w:before="0" w:beforeAutospacing="0" w:after="0" w:afterAutospacing="0" w:line="340" w:lineRule="exact"/>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 w:val="21"/>
                      <w:szCs w:val="21"/>
                      <w:highlight w:val="none"/>
                    </w:rPr>
                    <w:t>（</w:t>
                  </w:r>
                  <w:r>
                    <w:rPr>
                      <w:rFonts w:hint="eastAsia" w:ascii="Times New Roman" w:hAnsi="Times New Roman" w:eastAsia="宋体" w:cs="Times New Roman"/>
                      <w:color w:val="000000"/>
                      <w:sz w:val="21"/>
                      <w:szCs w:val="21"/>
                      <w:highlight w:val="none"/>
                      <w:lang w:eastAsia="zh-CN"/>
                    </w:rPr>
                    <w:t>GB 3838-2002</w:t>
                  </w:r>
                  <w:r>
                    <w:rPr>
                      <w:rFonts w:hint="default" w:ascii="Times New Roman" w:hAnsi="Times New Roman" w:cs="Times New Roman"/>
                      <w:color w:val="000000"/>
                      <w:sz w:val="21"/>
                      <w:szCs w:val="21"/>
                      <w:highlight w:val="none"/>
                    </w:rPr>
                    <w:t>）Ⅲ类标准</w:t>
                  </w:r>
                </w:p>
              </w:tc>
              <w:tc>
                <w:tcPr>
                  <w:tcW w:w="1572" w:type="dxa"/>
                  <w:tcBorders>
                    <w:right w:val="nil"/>
                  </w:tcBorders>
                  <w:noWrap w:val="0"/>
                  <w:vAlign w:val="center"/>
                </w:tcPr>
                <w:p w14:paraId="5FD2C520">
                  <w:pPr>
                    <w:pStyle w:val="14"/>
                    <w:widowControl w:val="0"/>
                    <w:spacing w:before="0" w:beforeAutospacing="0" w:after="0" w:afterAutospacing="0" w:line="340" w:lineRule="exact"/>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r>
            <w:tr w14:paraId="27E5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noWrap w:val="0"/>
                  <w:vAlign w:val="center"/>
                </w:tcPr>
                <w:p w14:paraId="63384477">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声环境</w:t>
                  </w:r>
                </w:p>
              </w:tc>
              <w:tc>
                <w:tcPr>
                  <w:tcW w:w="7325" w:type="dxa"/>
                  <w:gridSpan w:val="5"/>
                  <w:tcBorders>
                    <w:right w:val="nil"/>
                  </w:tcBorders>
                  <w:noWrap w:val="0"/>
                  <w:vAlign w:val="center"/>
                </w:tcPr>
                <w:p w14:paraId="228A8E3B">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项目周边50m范围内无声环境保护目标</w:t>
                  </w:r>
                </w:p>
              </w:tc>
            </w:tr>
            <w:tr w14:paraId="226D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noWrap w:val="0"/>
                  <w:vAlign w:val="center"/>
                </w:tcPr>
                <w:p w14:paraId="7053B8AC">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地下水</w:t>
                  </w:r>
                </w:p>
              </w:tc>
              <w:tc>
                <w:tcPr>
                  <w:tcW w:w="7325" w:type="dxa"/>
                  <w:gridSpan w:val="5"/>
                  <w:tcBorders>
                    <w:right w:val="nil"/>
                  </w:tcBorders>
                  <w:noWrap w:val="0"/>
                  <w:vAlign w:val="center"/>
                </w:tcPr>
                <w:p w14:paraId="70C5899A">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项目厂界外500m范围内无特殊地下水资源</w:t>
                  </w:r>
                </w:p>
              </w:tc>
            </w:tr>
            <w:tr w14:paraId="5268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tcBorders>
                    <w:bottom w:val="single" w:color="auto" w:sz="12" w:space="0"/>
                  </w:tcBorders>
                  <w:noWrap w:val="0"/>
                  <w:vAlign w:val="center"/>
                </w:tcPr>
                <w:p w14:paraId="70D28A65">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生态环境</w:t>
                  </w:r>
                </w:p>
              </w:tc>
              <w:tc>
                <w:tcPr>
                  <w:tcW w:w="7325" w:type="dxa"/>
                  <w:gridSpan w:val="5"/>
                  <w:tcBorders>
                    <w:bottom w:val="single" w:color="auto" w:sz="12" w:space="0"/>
                    <w:right w:val="nil"/>
                  </w:tcBorders>
                  <w:noWrap w:val="0"/>
                  <w:vAlign w:val="center"/>
                </w:tcPr>
                <w:p w14:paraId="211FF6F7">
                  <w:pPr>
                    <w:pStyle w:val="14"/>
                    <w:widowControl w:val="0"/>
                    <w:spacing w:before="0" w:beforeAutospacing="0" w:after="0" w:afterAutospacing="0" w:line="340" w:lineRule="exac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项目用地周边为城市道路、其他企业及居住用地等，评价区域内无珍稀濒危物种、自然保护区、风景名胜区等生态敏感目标。</w:t>
                  </w:r>
                </w:p>
              </w:tc>
            </w:tr>
          </w:tbl>
          <w:p w14:paraId="294CBA4D">
            <w:pPr>
              <w:rPr>
                <w:rFonts w:hint="default" w:eastAsia="宋体"/>
                <w:sz w:val="21"/>
                <w:highlight w:val="none"/>
                <w:lang w:val="en-US" w:eastAsia="zh-CN"/>
              </w:rPr>
            </w:pPr>
          </w:p>
        </w:tc>
      </w:tr>
      <w:tr w14:paraId="4E2A1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08" w:type="dxa"/>
            <w:tcBorders>
              <w:left w:val="single" w:color="000000" w:sz="6" w:space="0"/>
            </w:tcBorders>
            <w:vAlign w:val="center"/>
          </w:tcPr>
          <w:p w14:paraId="7EFF0166">
            <w:pPr>
              <w:spacing w:before="65" w:line="229" w:lineRule="auto"/>
              <w:ind w:left="195"/>
              <w:jc w:val="left"/>
              <w:rPr>
                <w:rFonts w:ascii="宋体" w:hAnsi="宋体" w:eastAsia="宋体" w:cs="宋体"/>
                <w:sz w:val="20"/>
                <w:szCs w:val="20"/>
                <w:highlight w:val="none"/>
              </w:rPr>
            </w:pPr>
            <w:r>
              <w:rPr>
                <w:rFonts w:ascii="宋体" w:hAnsi="宋体" w:eastAsia="宋体" w:cs="宋体"/>
                <w:spacing w:val="4"/>
                <w:sz w:val="20"/>
                <w:szCs w:val="20"/>
                <w:highlight w:val="none"/>
              </w:rPr>
              <w:t>污</w:t>
            </w:r>
            <w:r>
              <w:rPr>
                <w:rFonts w:ascii="宋体" w:hAnsi="宋体" w:eastAsia="宋体" w:cs="宋体"/>
                <w:spacing w:val="3"/>
                <w:sz w:val="20"/>
                <w:szCs w:val="20"/>
                <w:highlight w:val="none"/>
              </w:rPr>
              <w:t>染</w:t>
            </w:r>
            <w:r>
              <w:rPr>
                <w:rFonts w:ascii="宋体" w:hAnsi="宋体" w:eastAsia="宋体" w:cs="宋体"/>
                <w:spacing w:val="5"/>
                <w:sz w:val="20"/>
                <w:szCs w:val="20"/>
                <w:highlight w:val="none"/>
              </w:rPr>
              <w:t>物</w:t>
            </w:r>
            <w:r>
              <w:rPr>
                <w:rFonts w:ascii="宋体" w:hAnsi="宋体" w:eastAsia="宋体" w:cs="宋体"/>
                <w:spacing w:val="4"/>
                <w:sz w:val="20"/>
                <w:szCs w:val="20"/>
                <w:highlight w:val="none"/>
              </w:rPr>
              <w:t>排</w:t>
            </w:r>
            <w:r>
              <w:rPr>
                <w:rFonts w:ascii="宋体" w:hAnsi="宋体" w:eastAsia="宋体" w:cs="宋体"/>
                <w:spacing w:val="5"/>
                <w:sz w:val="20"/>
                <w:szCs w:val="20"/>
                <w:highlight w:val="none"/>
              </w:rPr>
              <w:t>放</w:t>
            </w:r>
            <w:r>
              <w:rPr>
                <w:rFonts w:ascii="宋体" w:hAnsi="宋体" w:eastAsia="宋体" w:cs="宋体"/>
                <w:spacing w:val="4"/>
                <w:sz w:val="20"/>
                <w:szCs w:val="20"/>
                <w:highlight w:val="none"/>
              </w:rPr>
              <w:t>控制标</w:t>
            </w:r>
            <w:r>
              <w:rPr>
                <w:rFonts w:ascii="宋体" w:hAnsi="宋体" w:eastAsia="宋体" w:cs="宋体"/>
                <w:sz w:val="20"/>
                <w:szCs w:val="20"/>
                <w:highlight w:val="none"/>
              </w:rPr>
              <w:t>准</w:t>
            </w:r>
          </w:p>
        </w:tc>
        <w:tc>
          <w:tcPr>
            <w:tcW w:w="8186" w:type="dxa"/>
            <w:tcBorders>
              <w:right w:val="single" w:color="000000" w:sz="6" w:space="0"/>
            </w:tcBorders>
            <w:vAlign w:val="top"/>
          </w:tcPr>
          <w:p w14:paraId="3CE32439">
            <w:pPr>
              <w:spacing w:line="360" w:lineRule="auto"/>
              <w:rPr>
                <w:rFonts w:hint="default" w:ascii="Times New Roman" w:hAnsi="Times New Roman" w:eastAsia="宋体" w:cs="Times New Roman"/>
                <w:b/>
                <w:bCs/>
                <w:color w:val="000000"/>
                <w:kern w:val="0"/>
                <w:sz w:val="28"/>
                <w:szCs w:val="21"/>
                <w:highlight w:val="none"/>
                <w:lang w:val="en-US" w:eastAsia="zh-CN"/>
              </w:rPr>
            </w:pPr>
            <w:r>
              <w:rPr>
                <w:rFonts w:hint="default" w:ascii="Times New Roman" w:hAnsi="Times New Roman" w:eastAsia="宋体" w:cs="Times New Roman"/>
                <w:b/>
                <w:bCs/>
                <w:color w:val="000000"/>
                <w:kern w:val="0"/>
                <w:sz w:val="28"/>
                <w:szCs w:val="21"/>
                <w:highlight w:val="none"/>
                <w:lang w:val="en-US" w:eastAsia="zh-CN"/>
              </w:rPr>
              <w:t>3.9 污染物排放控制标准</w:t>
            </w:r>
          </w:p>
          <w:p w14:paraId="3DDFE79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auto"/>
                <w:kern w:val="0"/>
                <w:sz w:val="24"/>
                <w:szCs w:val="20"/>
                <w:highlight w:val="none"/>
                <w:lang w:val="en-US" w:eastAsia="zh-CN"/>
              </w:rPr>
            </w:pPr>
            <w:r>
              <w:rPr>
                <w:rFonts w:hint="default" w:ascii="Times New Roman" w:hAnsi="Times New Roman" w:eastAsia="宋体" w:cs="Times New Roman"/>
                <w:b/>
                <w:bCs/>
                <w:color w:val="000000"/>
                <w:kern w:val="0"/>
                <w:sz w:val="24"/>
                <w:szCs w:val="20"/>
                <w:highlight w:val="none"/>
                <w:lang w:val="en-US" w:eastAsia="zh-CN"/>
              </w:rPr>
              <w:t>3.9.1 废水</w:t>
            </w:r>
          </w:p>
          <w:p w14:paraId="7294CB5E">
            <w:pPr>
              <w:pStyle w:val="14"/>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szCs w:val="24"/>
                <w:highlight w:val="none"/>
                <w:lang w:val="en-US" w:eastAsia="zh-CN"/>
              </w:rPr>
            </w:pPr>
            <w:r>
              <w:rPr>
                <w:rFonts w:hint="default" w:ascii="Times New Roman" w:hAnsi="Times New Roman" w:eastAsia="宋体" w:cs="Times New Roman"/>
                <w:color w:val="auto"/>
                <w:szCs w:val="24"/>
                <w:highlight w:val="none"/>
                <w:lang w:val="en-US" w:eastAsia="zh-CN"/>
              </w:rPr>
              <w:t>项目</w:t>
            </w:r>
            <w:r>
              <w:rPr>
                <w:rFonts w:hint="eastAsia" w:ascii="Times New Roman" w:hAnsi="Times New Roman" w:eastAsia="宋体" w:cs="Times New Roman"/>
                <w:color w:val="auto"/>
                <w:szCs w:val="24"/>
                <w:highlight w:val="none"/>
                <w:lang w:val="en-US" w:eastAsia="zh-CN"/>
              </w:rPr>
              <w:t>所产生废水主要为员工生活污水</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000000"/>
                <w:szCs w:val="24"/>
                <w:highlight w:val="none"/>
                <w:lang w:val="en-US" w:eastAsia="zh-CN"/>
              </w:rPr>
              <w:t>项目生活污水依托出租方化粪池处理后通过市政污水管网排入</w:t>
            </w:r>
            <w:r>
              <w:rPr>
                <w:rFonts w:hint="eastAsia" w:ascii="Times New Roman" w:hAnsi="Times New Roman" w:eastAsia="宋体" w:cs="Times New Roman"/>
                <w:color w:val="000000"/>
                <w:szCs w:val="24"/>
                <w:highlight w:val="none"/>
                <w:lang w:val="en-US" w:eastAsia="zh-CN"/>
              </w:rPr>
              <w:t>蓬壶镇</w:t>
            </w:r>
            <w:r>
              <w:rPr>
                <w:rFonts w:hint="default" w:ascii="Times New Roman" w:hAnsi="Times New Roman" w:eastAsia="宋体" w:cs="Times New Roman"/>
                <w:color w:val="000000"/>
                <w:szCs w:val="24"/>
                <w:highlight w:val="none"/>
                <w:lang w:val="en-US" w:eastAsia="zh-CN"/>
              </w:rPr>
              <w:t>污水处理厂。生活污水排放执行《污水综合排放标准》（</w:t>
            </w:r>
            <w:r>
              <w:rPr>
                <w:rFonts w:hint="eastAsia" w:ascii="Times New Roman" w:hAnsi="Times New Roman" w:eastAsia="宋体" w:cs="Times New Roman"/>
                <w:color w:val="000000"/>
                <w:szCs w:val="24"/>
                <w:highlight w:val="none"/>
                <w:lang w:val="en-US" w:eastAsia="zh-CN"/>
              </w:rPr>
              <w:t>GB 8978-1996</w:t>
            </w:r>
            <w:r>
              <w:rPr>
                <w:rFonts w:hint="default" w:ascii="Times New Roman" w:hAnsi="Times New Roman" w:eastAsia="宋体" w:cs="Times New Roman"/>
                <w:color w:val="000000"/>
                <w:szCs w:val="24"/>
                <w:highlight w:val="none"/>
                <w:lang w:val="en-US" w:eastAsia="zh-CN"/>
              </w:rPr>
              <w:t>）表4</w:t>
            </w:r>
            <w:r>
              <w:rPr>
                <w:rFonts w:hint="eastAsia" w:ascii="Times New Roman" w:hAnsi="Times New Roman" w:eastAsia="宋体" w:cs="Times New Roman"/>
                <w:color w:val="000000"/>
                <w:szCs w:val="24"/>
                <w:highlight w:val="none"/>
                <w:lang w:val="en-US" w:eastAsia="zh-CN"/>
              </w:rPr>
              <w:t>中的</w:t>
            </w:r>
            <w:r>
              <w:rPr>
                <w:rFonts w:hint="default" w:ascii="Times New Roman" w:hAnsi="Times New Roman" w:eastAsia="宋体" w:cs="Times New Roman"/>
                <w:color w:val="000000"/>
                <w:szCs w:val="24"/>
                <w:highlight w:val="none"/>
                <w:lang w:val="en-US" w:eastAsia="zh-CN"/>
              </w:rPr>
              <w:t>三级标准，其</w:t>
            </w:r>
            <w:r>
              <w:rPr>
                <w:rFonts w:hint="default" w:ascii="Times New Roman" w:hAnsi="Times New Roman" w:eastAsia="宋体" w:cs="Times New Roman"/>
                <w:color w:val="auto"/>
                <w:szCs w:val="24"/>
                <w:highlight w:val="none"/>
                <w:lang w:val="en-US" w:eastAsia="zh-CN"/>
              </w:rPr>
              <w:t>中</w:t>
            </w:r>
            <w:r>
              <w:rPr>
                <w:rFonts w:hint="default" w:ascii="Times New Roman" w:hAnsi="Times New Roman" w:cs="Times New Roman"/>
                <w:color w:val="auto"/>
                <w:kern w:val="2"/>
                <w:sz w:val="24"/>
                <w:szCs w:val="24"/>
                <w:highlight w:val="none"/>
              </w:rPr>
              <w:t>NH</w:t>
            </w:r>
            <w:r>
              <w:rPr>
                <w:rFonts w:hint="default" w:ascii="Times New Roman" w:hAnsi="Times New Roman" w:cs="Times New Roman"/>
                <w:color w:val="auto"/>
                <w:kern w:val="2"/>
                <w:sz w:val="24"/>
                <w:szCs w:val="24"/>
                <w:highlight w:val="none"/>
                <w:vertAlign w:val="subscript"/>
              </w:rPr>
              <w:t>3</w:t>
            </w:r>
            <w:r>
              <w:rPr>
                <w:rFonts w:hint="default" w:ascii="Times New Roman" w:hAnsi="Times New Roman" w:cs="Times New Roman"/>
                <w:color w:val="auto"/>
                <w:kern w:val="2"/>
                <w:sz w:val="24"/>
                <w:szCs w:val="24"/>
                <w:highlight w:val="none"/>
              </w:rPr>
              <w:t>-N</w:t>
            </w:r>
            <w:r>
              <w:rPr>
                <w:rFonts w:hint="default" w:ascii="Times New Roman" w:hAnsi="Times New Roman" w:eastAsia="宋体" w:cs="Times New Roman"/>
                <w:color w:val="auto"/>
                <w:szCs w:val="24"/>
                <w:highlight w:val="none"/>
                <w:lang w:val="en-US" w:eastAsia="zh-CN"/>
              </w:rPr>
              <w:t>指标应符</w:t>
            </w:r>
            <w:r>
              <w:rPr>
                <w:rFonts w:hint="default" w:ascii="Times New Roman" w:hAnsi="Times New Roman" w:eastAsia="宋体" w:cs="Times New Roman"/>
                <w:color w:val="000000"/>
                <w:szCs w:val="24"/>
                <w:highlight w:val="none"/>
                <w:lang w:val="en-US" w:eastAsia="zh-CN"/>
              </w:rPr>
              <w:t>合《污水排入城镇下水道水质标准》（</w:t>
            </w:r>
            <w:r>
              <w:rPr>
                <w:rFonts w:hint="eastAsia" w:ascii="Times New Roman" w:hAnsi="Times New Roman" w:eastAsia="宋体" w:cs="Times New Roman"/>
                <w:color w:val="000000"/>
                <w:szCs w:val="24"/>
                <w:highlight w:val="none"/>
                <w:lang w:val="en-US" w:eastAsia="zh-CN"/>
              </w:rPr>
              <w:t>GB/T 31962-2015</w:t>
            </w:r>
            <w:r>
              <w:rPr>
                <w:rFonts w:hint="default" w:ascii="Times New Roman" w:hAnsi="Times New Roman" w:eastAsia="宋体" w:cs="Times New Roman"/>
                <w:color w:val="000000"/>
                <w:szCs w:val="24"/>
                <w:highlight w:val="none"/>
                <w:lang w:val="en-US" w:eastAsia="zh-CN"/>
              </w:rPr>
              <w:t>）表1中B</w:t>
            </w:r>
            <w:r>
              <w:rPr>
                <w:rFonts w:hint="eastAsia" w:ascii="Times New Roman" w:hAnsi="Times New Roman" w:eastAsia="宋体" w:cs="Times New Roman"/>
                <w:color w:val="000000"/>
                <w:szCs w:val="24"/>
                <w:highlight w:val="none"/>
                <w:lang w:val="en-US" w:eastAsia="zh-CN"/>
              </w:rPr>
              <w:t>等</w:t>
            </w:r>
            <w:r>
              <w:rPr>
                <w:rFonts w:hint="default" w:ascii="Times New Roman" w:hAnsi="Times New Roman" w:eastAsia="宋体" w:cs="Times New Roman"/>
                <w:color w:val="000000"/>
                <w:szCs w:val="24"/>
                <w:highlight w:val="none"/>
                <w:lang w:val="en-US" w:eastAsia="zh-CN"/>
              </w:rPr>
              <w:t>级，详见表</w:t>
            </w:r>
            <w:r>
              <w:rPr>
                <w:rFonts w:hint="eastAsia" w:ascii="Times New Roman" w:hAnsi="Times New Roman" w:eastAsia="宋体" w:cs="Times New Roman"/>
                <w:color w:val="000000"/>
                <w:szCs w:val="24"/>
                <w:highlight w:val="none"/>
                <w:lang w:val="en-US" w:eastAsia="zh-CN"/>
              </w:rPr>
              <w:t>3.9-1</w:t>
            </w:r>
            <w:r>
              <w:rPr>
                <w:rFonts w:hint="default" w:ascii="Times New Roman" w:hAnsi="Times New Roman" w:eastAsia="宋体" w:cs="Times New Roman"/>
                <w:color w:val="000000"/>
                <w:szCs w:val="24"/>
                <w:highlight w:val="none"/>
                <w:lang w:val="en-US" w:eastAsia="zh-CN"/>
              </w:rPr>
              <w:t>。</w:t>
            </w:r>
          </w:p>
          <w:p w14:paraId="61DA8CE3">
            <w:pPr>
              <w:pStyle w:val="16"/>
              <w:spacing w:after="0" w:line="360" w:lineRule="auto"/>
              <w:ind w:left="0" w:leftChars="0"/>
              <w:jc w:val="center"/>
              <w:rPr>
                <w:rFonts w:hint="default" w:ascii="Times New Roman" w:hAnsi="Times New Roman" w:eastAsia="宋体" w:cs="Times New Roman"/>
                <w:b/>
                <w:bCs/>
                <w:color w:val="000000"/>
                <w:szCs w:val="24"/>
                <w:highlight w:val="none"/>
                <w:lang w:val="en-US" w:eastAsia="zh-CN"/>
              </w:rPr>
            </w:pPr>
            <w:r>
              <w:rPr>
                <w:rFonts w:hint="default" w:ascii="Times New Roman" w:hAnsi="Times New Roman" w:cs="Times New Roman"/>
                <w:b/>
                <w:bCs/>
                <w:color w:val="000000"/>
                <w:szCs w:val="24"/>
                <w:highlight w:val="none"/>
              </w:rPr>
              <w:t>表3</w:t>
            </w:r>
            <w:r>
              <w:rPr>
                <w:rFonts w:hint="eastAsia" w:ascii="Times New Roman" w:hAnsi="Times New Roman" w:eastAsia="宋体" w:cs="Times New Roman"/>
                <w:b/>
                <w:bCs/>
                <w:color w:val="000000"/>
                <w:szCs w:val="24"/>
                <w:highlight w:val="none"/>
                <w:lang w:val="en-US" w:eastAsia="zh-CN"/>
              </w:rPr>
              <w:t>.9-1</w:t>
            </w:r>
            <w:r>
              <w:rPr>
                <w:rFonts w:hint="default" w:ascii="Times New Roman" w:hAnsi="Times New Roman" w:cs="Times New Roman"/>
                <w:b/>
                <w:bCs/>
                <w:color w:val="000000"/>
                <w:szCs w:val="24"/>
                <w:highlight w:val="none"/>
              </w:rPr>
              <w:t xml:space="preserve"> 污水排放执行标准一览表</w:t>
            </w:r>
            <w:r>
              <w:rPr>
                <w:rFonts w:hint="eastAsia" w:ascii="Times New Roman" w:hAnsi="Times New Roman" w:eastAsia="宋体" w:cs="Times New Roman"/>
                <w:b/>
                <w:bCs/>
                <w:color w:val="000000"/>
                <w:szCs w:val="24"/>
                <w:highlight w:val="none"/>
                <w:lang w:val="en-US" w:eastAsia="zh-CN"/>
              </w:rPr>
              <w:t xml:space="preserve">   单位：mg/L</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12"/>
              <w:gridCol w:w="2480"/>
              <w:gridCol w:w="2480"/>
              <w:gridCol w:w="1251"/>
            </w:tblGrid>
            <w:tr w14:paraId="31E7D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7" w:type="pct"/>
                  <w:noWrap w:val="0"/>
                  <w:vAlign w:val="center"/>
                </w:tcPr>
                <w:p w14:paraId="51EB9C05">
                  <w:pPr>
                    <w:pStyle w:val="28"/>
                    <w:tabs>
                      <w:tab w:val="left" w:pos="1980"/>
                      <w:tab w:val="left" w:pos="3825"/>
                      <w:tab w:val="left" w:pos="4680"/>
                      <w:tab w:val="clear" w:pos="0"/>
                    </w:tabs>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项目</w:t>
                  </w:r>
                </w:p>
              </w:tc>
              <w:tc>
                <w:tcPr>
                  <w:tcW w:w="802" w:type="pct"/>
                  <w:noWrap w:val="0"/>
                  <w:vAlign w:val="center"/>
                </w:tcPr>
                <w:p w14:paraId="26C45301">
                  <w:pPr>
                    <w:pStyle w:val="28"/>
                    <w:tabs>
                      <w:tab w:val="left" w:pos="1980"/>
                      <w:tab w:val="left" w:pos="3825"/>
                      <w:tab w:val="left" w:pos="4680"/>
                      <w:tab w:val="clear" w:pos="0"/>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污染物名称</w:t>
                  </w:r>
                </w:p>
              </w:tc>
              <w:tc>
                <w:tcPr>
                  <w:tcW w:w="1517" w:type="pct"/>
                  <w:noWrap w:val="0"/>
                  <w:vAlign w:val="center"/>
                </w:tcPr>
                <w:p w14:paraId="2ABD599E">
                  <w:pPr>
                    <w:jc w:val="center"/>
                    <w:textAlignment w:val="bottom"/>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《污水综合排放标准》（</w:t>
                  </w:r>
                  <w:r>
                    <w:rPr>
                      <w:rFonts w:hint="eastAsia" w:ascii="Times New Roman" w:hAnsi="Times New Roman" w:eastAsia="宋体" w:cs="Times New Roman"/>
                      <w:color w:val="000000"/>
                      <w:szCs w:val="21"/>
                      <w:highlight w:val="none"/>
                      <w:lang w:eastAsia="zh-CN"/>
                    </w:rPr>
                    <w:t>GB 8978-1996</w:t>
                  </w:r>
                  <w:r>
                    <w:rPr>
                      <w:rFonts w:hint="default" w:ascii="Times New Roman" w:hAnsi="Times New Roman" w:cs="Times New Roman"/>
                      <w:color w:val="000000"/>
                      <w:szCs w:val="21"/>
                      <w:highlight w:val="none"/>
                    </w:rPr>
                    <w:t>）表4中三级标准</w:t>
                  </w:r>
                </w:p>
              </w:tc>
              <w:tc>
                <w:tcPr>
                  <w:tcW w:w="1517" w:type="pct"/>
                  <w:noWrap w:val="0"/>
                  <w:vAlign w:val="center"/>
                </w:tcPr>
                <w:p w14:paraId="0A8371A3">
                  <w:pPr>
                    <w:jc w:val="center"/>
                    <w:textAlignment w:val="bottom"/>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rPr>
                    <w:t>《污水排入城镇下水道水质标准》（</w:t>
                  </w:r>
                  <w:r>
                    <w:rPr>
                      <w:rFonts w:hint="eastAsia" w:ascii="Times New Roman" w:hAnsi="Times New Roman" w:eastAsia="宋体" w:cs="Times New Roman"/>
                      <w:color w:val="000000"/>
                      <w:kern w:val="0"/>
                      <w:szCs w:val="21"/>
                      <w:highlight w:val="none"/>
                      <w:lang w:eastAsia="zh-CN"/>
                    </w:rPr>
                    <w:t>GB/T 31962-2015</w:t>
                  </w:r>
                  <w:r>
                    <w:rPr>
                      <w:rFonts w:hint="default" w:ascii="Times New Roman" w:hAnsi="Times New Roman" w:cs="Times New Roman"/>
                      <w:color w:val="000000"/>
                      <w:kern w:val="0"/>
                      <w:szCs w:val="21"/>
                      <w:highlight w:val="none"/>
                    </w:rPr>
                    <w:t>）表1</w:t>
                  </w:r>
                  <w:r>
                    <w:rPr>
                      <w:rFonts w:hint="eastAsia" w:ascii="Times New Roman" w:hAnsi="Times New Roman" w:eastAsia="宋体" w:cs="Times New Roman"/>
                      <w:color w:val="000000"/>
                      <w:kern w:val="0"/>
                      <w:szCs w:val="21"/>
                      <w:highlight w:val="none"/>
                      <w:lang w:val="en-US" w:eastAsia="zh-CN"/>
                    </w:rPr>
                    <w:t xml:space="preserve"> </w:t>
                  </w:r>
                  <w:r>
                    <w:rPr>
                      <w:rFonts w:hint="default" w:ascii="Times New Roman" w:hAnsi="Times New Roman" w:cs="Times New Roman"/>
                      <w:color w:val="000000"/>
                      <w:kern w:val="0"/>
                      <w:szCs w:val="21"/>
                      <w:highlight w:val="none"/>
                    </w:rPr>
                    <w:t>B等级标准</w:t>
                  </w:r>
                </w:p>
              </w:tc>
              <w:tc>
                <w:tcPr>
                  <w:tcW w:w="765" w:type="pct"/>
                  <w:noWrap w:val="0"/>
                  <w:vAlign w:val="center"/>
                </w:tcPr>
                <w:p w14:paraId="7DD01541">
                  <w:pPr>
                    <w:jc w:val="center"/>
                    <w:textAlignment w:val="bottom"/>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项目执行标准限值</w:t>
                  </w:r>
                </w:p>
              </w:tc>
            </w:tr>
            <w:tr w14:paraId="47D54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97" w:type="pct"/>
                  <w:vMerge w:val="restart"/>
                  <w:noWrap w:val="0"/>
                  <w:vAlign w:val="center"/>
                </w:tcPr>
                <w:p w14:paraId="76406D89">
                  <w:pPr>
                    <w:pStyle w:val="28"/>
                    <w:tabs>
                      <w:tab w:val="left" w:pos="1980"/>
                      <w:tab w:val="left" w:pos="3825"/>
                      <w:tab w:val="left" w:pos="4680"/>
                      <w:tab w:val="clear" w:pos="0"/>
                    </w:tabs>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废水</w:t>
                  </w:r>
                </w:p>
              </w:tc>
              <w:tc>
                <w:tcPr>
                  <w:tcW w:w="802" w:type="pct"/>
                  <w:noWrap w:val="0"/>
                  <w:vAlign w:val="center"/>
                </w:tcPr>
                <w:p w14:paraId="7A16479A">
                  <w:pPr>
                    <w:pStyle w:val="28"/>
                    <w:tabs>
                      <w:tab w:val="left" w:pos="1980"/>
                      <w:tab w:val="left" w:pos="3825"/>
                      <w:tab w:val="left" w:pos="4680"/>
                      <w:tab w:val="clear" w:pos="0"/>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pH</w:t>
                  </w:r>
                </w:p>
                <w:p w14:paraId="6864FFBB">
                  <w:pPr>
                    <w:pStyle w:val="28"/>
                    <w:tabs>
                      <w:tab w:val="left" w:pos="1980"/>
                      <w:tab w:val="left" w:pos="3825"/>
                      <w:tab w:val="left" w:pos="4680"/>
                      <w:tab w:val="clear" w:pos="0"/>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（无量纲）</w:t>
                  </w:r>
                </w:p>
              </w:tc>
              <w:tc>
                <w:tcPr>
                  <w:tcW w:w="1517" w:type="pct"/>
                  <w:noWrap w:val="0"/>
                  <w:vAlign w:val="center"/>
                </w:tcPr>
                <w:p w14:paraId="254C8F19">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6</w:t>
                  </w:r>
                  <w:r>
                    <w:rPr>
                      <w:rFonts w:hint="default" w:ascii="Times New Roman" w:hAnsi="Times New Roman" w:cs="Times New Roman"/>
                      <w:color w:val="000000"/>
                      <w:szCs w:val="21"/>
                      <w:highlight w:val="none"/>
                      <w:lang w:val="en-US" w:eastAsia="zh-CN"/>
                    </w:rPr>
                    <w:t>.0</w:t>
                  </w:r>
                  <w:r>
                    <w:rPr>
                      <w:rFonts w:hint="default" w:ascii="Times New Roman" w:hAnsi="Times New Roman" w:cs="Times New Roman"/>
                      <w:color w:val="000000"/>
                      <w:szCs w:val="21"/>
                      <w:highlight w:val="none"/>
                    </w:rPr>
                    <w:t>-9</w:t>
                  </w:r>
                  <w:r>
                    <w:rPr>
                      <w:rFonts w:hint="default" w:ascii="Times New Roman" w:hAnsi="Times New Roman" w:cs="Times New Roman"/>
                      <w:color w:val="000000"/>
                      <w:szCs w:val="21"/>
                      <w:highlight w:val="none"/>
                      <w:lang w:val="en-US" w:eastAsia="zh-CN"/>
                    </w:rPr>
                    <w:t>.0</w:t>
                  </w:r>
                </w:p>
              </w:tc>
              <w:tc>
                <w:tcPr>
                  <w:tcW w:w="1517" w:type="pct"/>
                  <w:noWrap w:val="0"/>
                  <w:vAlign w:val="center"/>
                </w:tcPr>
                <w:p w14:paraId="7234A76D">
                  <w:pPr>
                    <w:jc w:val="center"/>
                    <w:textAlignment w:val="bottom"/>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6</w:t>
                  </w:r>
                  <w:r>
                    <w:rPr>
                      <w:rFonts w:hint="default" w:ascii="Times New Roman" w:hAnsi="Times New Roman" w:cs="Times New Roman"/>
                      <w:color w:val="000000"/>
                      <w:szCs w:val="21"/>
                      <w:highlight w:val="none"/>
                      <w:lang w:val="en-US" w:eastAsia="zh-CN"/>
                    </w:rPr>
                    <w:t>.5</w:t>
                  </w:r>
                  <w:r>
                    <w:rPr>
                      <w:rFonts w:hint="default" w:ascii="Times New Roman" w:hAnsi="Times New Roman" w:cs="Times New Roman"/>
                      <w:color w:val="000000"/>
                      <w:szCs w:val="21"/>
                      <w:highlight w:val="none"/>
                    </w:rPr>
                    <w:t>-9</w:t>
                  </w:r>
                  <w:r>
                    <w:rPr>
                      <w:rFonts w:hint="default" w:ascii="Times New Roman" w:hAnsi="Times New Roman" w:cs="Times New Roman"/>
                      <w:color w:val="000000"/>
                      <w:szCs w:val="21"/>
                      <w:highlight w:val="none"/>
                      <w:lang w:val="en-US" w:eastAsia="zh-CN"/>
                    </w:rPr>
                    <w:t>.5</w:t>
                  </w:r>
                </w:p>
              </w:tc>
              <w:tc>
                <w:tcPr>
                  <w:tcW w:w="765" w:type="pct"/>
                  <w:noWrap w:val="0"/>
                  <w:vAlign w:val="center"/>
                </w:tcPr>
                <w:p w14:paraId="67E5541E">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6</w:t>
                  </w:r>
                  <w:r>
                    <w:rPr>
                      <w:rFonts w:hint="default" w:ascii="Times New Roman" w:hAnsi="Times New Roman" w:cs="Times New Roman"/>
                      <w:color w:val="000000"/>
                      <w:szCs w:val="21"/>
                      <w:highlight w:val="none"/>
                      <w:lang w:val="en-US" w:eastAsia="zh-CN"/>
                    </w:rPr>
                    <w:t>.0</w:t>
                  </w:r>
                  <w:r>
                    <w:rPr>
                      <w:rFonts w:hint="default" w:ascii="Times New Roman" w:hAnsi="Times New Roman" w:cs="Times New Roman"/>
                      <w:color w:val="000000"/>
                      <w:szCs w:val="21"/>
                      <w:highlight w:val="none"/>
                    </w:rPr>
                    <w:t>-9</w:t>
                  </w:r>
                  <w:r>
                    <w:rPr>
                      <w:rFonts w:hint="default" w:ascii="Times New Roman" w:hAnsi="Times New Roman" w:cs="Times New Roman"/>
                      <w:color w:val="000000"/>
                      <w:szCs w:val="21"/>
                      <w:highlight w:val="none"/>
                      <w:lang w:val="en-US" w:eastAsia="zh-CN"/>
                    </w:rPr>
                    <w:t>.0</w:t>
                  </w:r>
                </w:p>
              </w:tc>
            </w:tr>
            <w:tr w14:paraId="07C00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97" w:type="pct"/>
                  <w:vMerge w:val="continue"/>
                  <w:noWrap w:val="0"/>
                  <w:vAlign w:val="center"/>
                </w:tcPr>
                <w:p w14:paraId="420E1ACA">
                  <w:pPr>
                    <w:pStyle w:val="28"/>
                    <w:tabs>
                      <w:tab w:val="left" w:pos="1980"/>
                      <w:tab w:val="left" w:pos="3825"/>
                      <w:tab w:val="left" w:pos="4680"/>
                      <w:tab w:val="clear" w:pos="0"/>
                    </w:tabs>
                    <w:rPr>
                      <w:rFonts w:hint="default" w:ascii="Times New Roman" w:hAnsi="Times New Roman" w:cs="Times New Roman"/>
                      <w:color w:val="000000"/>
                      <w:highlight w:val="none"/>
                    </w:rPr>
                  </w:pPr>
                </w:p>
              </w:tc>
              <w:tc>
                <w:tcPr>
                  <w:tcW w:w="802" w:type="pct"/>
                  <w:noWrap w:val="0"/>
                  <w:vAlign w:val="center"/>
                </w:tcPr>
                <w:p w14:paraId="3041FE6D">
                  <w:pPr>
                    <w:pStyle w:val="28"/>
                    <w:tabs>
                      <w:tab w:val="left" w:pos="1980"/>
                      <w:tab w:val="left" w:pos="3825"/>
                      <w:tab w:val="left" w:pos="4680"/>
                      <w:tab w:val="clear" w:pos="0"/>
                    </w:tabs>
                    <w:rPr>
                      <w:rFonts w:hint="default" w:ascii="Times New Roman" w:hAnsi="Times New Roman" w:cs="Times New Roman"/>
                      <w:color w:val="000000"/>
                      <w:highlight w:val="none"/>
                    </w:rPr>
                  </w:pPr>
                  <w:r>
                    <w:rPr>
                      <w:rFonts w:hint="default" w:ascii="Times New Roman" w:hAnsi="Times New Roman" w:cs="Times New Roman"/>
                      <w:color w:val="000000"/>
                      <w:highlight w:val="none"/>
                    </w:rPr>
                    <w:t>BOD</w:t>
                  </w:r>
                  <w:r>
                    <w:rPr>
                      <w:rFonts w:hint="default" w:ascii="Times New Roman" w:hAnsi="Times New Roman" w:cs="Times New Roman"/>
                      <w:color w:val="000000"/>
                      <w:highlight w:val="none"/>
                      <w:vertAlign w:val="subscript"/>
                    </w:rPr>
                    <w:t>5</w:t>
                  </w:r>
                </w:p>
              </w:tc>
              <w:tc>
                <w:tcPr>
                  <w:tcW w:w="1517" w:type="pct"/>
                  <w:noWrap w:val="0"/>
                  <w:vAlign w:val="center"/>
                </w:tcPr>
                <w:p w14:paraId="0D38B495">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300</w:t>
                  </w:r>
                </w:p>
              </w:tc>
              <w:tc>
                <w:tcPr>
                  <w:tcW w:w="1517" w:type="pct"/>
                  <w:noWrap w:val="0"/>
                  <w:vAlign w:val="center"/>
                </w:tcPr>
                <w:p w14:paraId="52819E04">
                  <w:pPr>
                    <w:jc w:val="center"/>
                    <w:textAlignment w:val="bottom"/>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3</w:t>
                  </w:r>
                  <w:r>
                    <w:rPr>
                      <w:rFonts w:hint="default" w:ascii="Times New Roman" w:hAnsi="Times New Roman" w:cs="Times New Roman"/>
                      <w:color w:val="000000"/>
                      <w:szCs w:val="21"/>
                      <w:highlight w:val="none"/>
                      <w:lang w:val="en-US" w:eastAsia="zh-CN"/>
                    </w:rPr>
                    <w:t>50</w:t>
                  </w:r>
                </w:p>
              </w:tc>
              <w:tc>
                <w:tcPr>
                  <w:tcW w:w="765" w:type="pct"/>
                  <w:noWrap w:val="0"/>
                  <w:vAlign w:val="center"/>
                </w:tcPr>
                <w:p w14:paraId="254988DF">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300</w:t>
                  </w:r>
                </w:p>
              </w:tc>
            </w:tr>
            <w:tr w14:paraId="52320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97" w:type="pct"/>
                  <w:vMerge w:val="continue"/>
                  <w:noWrap w:val="0"/>
                  <w:vAlign w:val="center"/>
                </w:tcPr>
                <w:p w14:paraId="636A122C">
                  <w:pPr>
                    <w:jc w:val="center"/>
                    <w:textAlignment w:val="bottom"/>
                    <w:rPr>
                      <w:rFonts w:hint="default" w:ascii="Times New Roman" w:hAnsi="Times New Roman" w:cs="Times New Roman"/>
                      <w:color w:val="000000"/>
                      <w:szCs w:val="21"/>
                      <w:highlight w:val="none"/>
                    </w:rPr>
                  </w:pPr>
                </w:p>
              </w:tc>
              <w:tc>
                <w:tcPr>
                  <w:tcW w:w="802" w:type="pct"/>
                  <w:noWrap w:val="0"/>
                  <w:vAlign w:val="center"/>
                </w:tcPr>
                <w:p w14:paraId="001F65B3">
                  <w:pPr>
                    <w:jc w:val="center"/>
                    <w:textAlignment w:val="bottom"/>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COD</w:t>
                  </w:r>
                </w:p>
              </w:tc>
              <w:tc>
                <w:tcPr>
                  <w:tcW w:w="1517" w:type="pct"/>
                  <w:noWrap w:val="0"/>
                  <w:vAlign w:val="center"/>
                </w:tcPr>
                <w:p w14:paraId="066B90B4">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500</w:t>
                  </w:r>
                </w:p>
              </w:tc>
              <w:tc>
                <w:tcPr>
                  <w:tcW w:w="1517" w:type="pct"/>
                  <w:noWrap w:val="0"/>
                  <w:vAlign w:val="center"/>
                </w:tcPr>
                <w:p w14:paraId="6B01F66C">
                  <w:pPr>
                    <w:jc w:val="center"/>
                    <w:textAlignment w:val="bottom"/>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500</w:t>
                  </w:r>
                </w:p>
              </w:tc>
              <w:tc>
                <w:tcPr>
                  <w:tcW w:w="765" w:type="pct"/>
                  <w:noWrap w:val="0"/>
                  <w:vAlign w:val="center"/>
                </w:tcPr>
                <w:p w14:paraId="0317EDE5">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500</w:t>
                  </w:r>
                </w:p>
              </w:tc>
            </w:tr>
            <w:tr w14:paraId="5AA78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97" w:type="pct"/>
                  <w:vMerge w:val="continue"/>
                  <w:noWrap w:val="0"/>
                  <w:vAlign w:val="center"/>
                </w:tcPr>
                <w:p w14:paraId="1BBF6752">
                  <w:pPr>
                    <w:jc w:val="center"/>
                    <w:rPr>
                      <w:rFonts w:hint="default" w:ascii="Times New Roman" w:hAnsi="Times New Roman" w:cs="Times New Roman"/>
                      <w:color w:val="000000"/>
                      <w:szCs w:val="21"/>
                      <w:highlight w:val="none"/>
                    </w:rPr>
                  </w:pPr>
                </w:p>
              </w:tc>
              <w:tc>
                <w:tcPr>
                  <w:tcW w:w="802" w:type="pct"/>
                  <w:noWrap w:val="0"/>
                  <w:vAlign w:val="center"/>
                </w:tcPr>
                <w:p w14:paraId="29DF59B7">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SS</w:t>
                  </w:r>
                </w:p>
              </w:tc>
              <w:tc>
                <w:tcPr>
                  <w:tcW w:w="1517" w:type="pct"/>
                  <w:noWrap w:val="0"/>
                  <w:vAlign w:val="center"/>
                </w:tcPr>
                <w:p w14:paraId="1596D3C6">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400</w:t>
                  </w:r>
                </w:p>
              </w:tc>
              <w:tc>
                <w:tcPr>
                  <w:tcW w:w="1517" w:type="pct"/>
                  <w:noWrap w:val="0"/>
                  <w:vAlign w:val="center"/>
                </w:tcPr>
                <w:p w14:paraId="428719BC">
                  <w:pPr>
                    <w:jc w:val="center"/>
                    <w:textAlignment w:val="bottom"/>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400</w:t>
                  </w:r>
                </w:p>
              </w:tc>
              <w:tc>
                <w:tcPr>
                  <w:tcW w:w="765" w:type="pct"/>
                  <w:noWrap w:val="0"/>
                  <w:vAlign w:val="center"/>
                </w:tcPr>
                <w:p w14:paraId="21D5BE64">
                  <w:pPr>
                    <w:jc w:val="center"/>
                    <w:textAlignment w:val="bottom"/>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szCs w:val="21"/>
                      <w:highlight w:val="none"/>
                    </w:rPr>
                    <w:t>400</w:t>
                  </w:r>
                </w:p>
              </w:tc>
            </w:tr>
            <w:tr w14:paraId="579D2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97" w:type="pct"/>
                  <w:vMerge w:val="continue"/>
                  <w:noWrap w:val="0"/>
                  <w:vAlign w:val="center"/>
                </w:tcPr>
                <w:p w14:paraId="7E67DA56">
                  <w:pPr>
                    <w:pStyle w:val="28"/>
                    <w:tabs>
                      <w:tab w:val="left" w:pos="1980"/>
                      <w:tab w:val="left" w:pos="3825"/>
                      <w:tab w:val="left" w:pos="4680"/>
                      <w:tab w:val="clear" w:pos="0"/>
                    </w:tabs>
                    <w:rPr>
                      <w:rFonts w:hint="default" w:ascii="Times New Roman" w:hAnsi="Times New Roman" w:cs="Times New Roman"/>
                      <w:color w:val="000000"/>
                      <w:highlight w:val="none"/>
                    </w:rPr>
                  </w:pPr>
                </w:p>
              </w:tc>
              <w:tc>
                <w:tcPr>
                  <w:tcW w:w="802" w:type="pct"/>
                  <w:noWrap w:val="0"/>
                  <w:vAlign w:val="center"/>
                </w:tcPr>
                <w:p w14:paraId="232F1224">
                  <w:pPr>
                    <w:pStyle w:val="28"/>
                    <w:tabs>
                      <w:tab w:val="left" w:pos="1980"/>
                      <w:tab w:val="left" w:pos="3825"/>
                      <w:tab w:val="left" w:pos="4680"/>
                      <w:tab w:val="clear" w:pos="0"/>
                    </w:tabs>
                    <w:rPr>
                      <w:rFonts w:hint="default" w:ascii="Times New Roman" w:hAnsi="Times New Roman" w:cs="Times New Roman"/>
                      <w:color w:val="000000"/>
                      <w:highlight w:val="none"/>
                    </w:rPr>
                  </w:pPr>
                  <w:r>
                    <w:rPr>
                      <w:rFonts w:hint="default" w:ascii="Times New Roman" w:hAnsi="Times New Roman" w:cs="Times New Roman"/>
                      <w:color w:val="auto"/>
                      <w:kern w:val="2"/>
                      <w:sz w:val="21"/>
                      <w:szCs w:val="21"/>
                      <w:highlight w:val="none"/>
                    </w:rPr>
                    <w:t>NH</w:t>
                  </w:r>
                  <w:r>
                    <w:rPr>
                      <w:rFonts w:hint="default" w:ascii="Times New Roman" w:hAnsi="Times New Roman" w:cs="Times New Roman"/>
                      <w:color w:val="auto"/>
                      <w:kern w:val="2"/>
                      <w:sz w:val="21"/>
                      <w:szCs w:val="21"/>
                      <w:highlight w:val="none"/>
                      <w:vertAlign w:val="subscript"/>
                    </w:rPr>
                    <w:t>3</w:t>
                  </w:r>
                  <w:r>
                    <w:rPr>
                      <w:rFonts w:hint="default" w:ascii="Times New Roman" w:hAnsi="Times New Roman" w:cs="Times New Roman"/>
                      <w:color w:val="auto"/>
                      <w:kern w:val="2"/>
                      <w:sz w:val="21"/>
                      <w:szCs w:val="21"/>
                      <w:highlight w:val="none"/>
                    </w:rPr>
                    <w:t>-N</w:t>
                  </w:r>
                </w:p>
              </w:tc>
              <w:tc>
                <w:tcPr>
                  <w:tcW w:w="1517" w:type="pct"/>
                  <w:noWrap w:val="0"/>
                  <w:vAlign w:val="center"/>
                </w:tcPr>
                <w:p w14:paraId="201951DE">
                  <w:pPr>
                    <w:jc w:val="center"/>
                    <w:textAlignment w:val="bottom"/>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w:t>
                  </w:r>
                </w:p>
              </w:tc>
              <w:tc>
                <w:tcPr>
                  <w:tcW w:w="1517" w:type="pct"/>
                  <w:noWrap w:val="0"/>
                  <w:vAlign w:val="center"/>
                </w:tcPr>
                <w:p w14:paraId="629D371B">
                  <w:pPr>
                    <w:jc w:val="center"/>
                    <w:textAlignment w:val="bottom"/>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45</w:t>
                  </w:r>
                </w:p>
              </w:tc>
              <w:tc>
                <w:tcPr>
                  <w:tcW w:w="765" w:type="pct"/>
                  <w:noWrap w:val="0"/>
                  <w:vAlign w:val="center"/>
                </w:tcPr>
                <w:p w14:paraId="5917C575">
                  <w:pPr>
                    <w:jc w:val="center"/>
                    <w:textAlignment w:val="bottom"/>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45</w:t>
                  </w:r>
                </w:p>
              </w:tc>
            </w:tr>
          </w:tbl>
          <w:p w14:paraId="3BADB1C7">
            <w:pPr>
              <w:pStyle w:val="14"/>
              <w:widowControl w:val="0"/>
              <w:spacing w:before="0" w:beforeAutospacing="0" w:after="0" w:afterAutospacing="0" w:line="360" w:lineRule="auto"/>
              <w:jc w:val="both"/>
              <w:rPr>
                <w:rFonts w:hint="default" w:ascii="Times New Roman" w:hAnsi="Times New Roman" w:eastAsia="宋体" w:cs="Times New Roman"/>
                <w:b/>
                <w:bCs/>
                <w:color w:val="000000"/>
                <w:szCs w:val="24"/>
                <w:highlight w:val="none"/>
                <w:lang w:val="en-US" w:eastAsia="zh-CN"/>
              </w:rPr>
            </w:pPr>
            <w:r>
              <w:rPr>
                <w:rFonts w:hint="default" w:ascii="Times New Roman" w:hAnsi="Times New Roman" w:eastAsia="宋体" w:cs="Times New Roman"/>
                <w:b/>
                <w:bCs/>
                <w:color w:val="000000"/>
                <w:szCs w:val="24"/>
                <w:highlight w:val="none"/>
                <w:lang w:val="en-US" w:eastAsia="zh-CN"/>
              </w:rPr>
              <w:t>3.9.2 废气</w:t>
            </w:r>
          </w:p>
          <w:p w14:paraId="0D9EBA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kern w:val="0"/>
                <w:sz w:val="24"/>
                <w:szCs w:val="20"/>
                <w:highlight w:val="none"/>
                <w:lang w:val="en-US" w:eastAsia="zh-CN"/>
              </w:rPr>
            </w:pPr>
            <w:r>
              <w:rPr>
                <w:rFonts w:hint="default" w:ascii="Times New Roman" w:hAnsi="Times New Roman" w:cs="Times New Roman"/>
                <w:b w:val="0"/>
                <w:bCs w:val="0"/>
                <w:color w:val="auto"/>
                <w:kern w:val="0"/>
                <w:sz w:val="24"/>
                <w:szCs w:val="20"/>
                <w:highlight w:val="none"/>
                <w:lang w:val="en-US" w:eastAsia="zh-CN"/>
              </w:rPr>
              <w:t>本项目</w:t>
            </w:r>
            <w:r>
              <w:rPr>
                <w:rFonts w:hint="eastAsia" w:ascii="Times New Roman" w:hAnsi="Times New Roman" w:cs="Times New Roman"/>
                <w:b w:val="0"/>
                <w:bCs w:val="0"/>
                <w:color w:val="auto"/>
                <w:kern w:val="0"/>
                <w:sz w:val="24"/>
                <w:szCs w:val="20"/>
                <w:highlight w:val="none"/>
                <w:lang w:val="en-US" w:eastAsia="zh-CN"/>
              </w:rPr>
              <w:t>的调墨工序、</w:t>
            </w:r>
            <w:r>
              <w:rPr>
                <w:rFonts w:hint="default" w:ascii="Times New Roman" w:hAnsi="Times New Roman" w:cs="Times New Roman"/>
                <w:b w:val="0"/>
                <w:bCs w:val="0"/>
                <w:color w:val="auto"/>
                <w:kern w:val="0"/>
                <w:sz w:val="24"/>
                <w:szCs w:val="20"/>
                <w:highlight w:val="none"/>
                <w:lang w:val="en-US" w:eastAsia="zh-CN"/>
              </w:rPr>
              <w:t>印刷工序</w:t>
            </w:r>
            <w:r>
              <w:rPr>
                <w:rFonts w:hint="eastAsia" w:ascii="Times New Roman" w:hAnsi="Times New Roman" w:cs="Times New Roman"/>
                <w:b w:val="0"/>
                <w:bCs w:val="0"/>
                <w:color w:val="auto"/>
                <w:kern w:val="0"/>
                <w:sz w:val="24"/>
                <w:szCs w:val="20"/>
                <w:highlight w:val="none"/>
                <w:lang w:val="en-US" w:eastAsia="zh-CN"/>
              </w:rPr>
              <w:t>中油墨的使用、擦拭网版和高温成型工序都</w:t>
            </w:r>
            <w:r>
              <w:rPr>
                <w:rFonts w:hint="default" w:ascii="Times New Roman" w:hAnsi="Times New Roman" w:cs="Times New Roman"/>
                <w:b w:val="0"/>
                <w:bCs w:val="0"/>
                <w:color w:val="auto"/>
                <w:kern w:val="0"/>
                <w:sz w:val="24"/>
                <w:szCs w:val="20"/>
                <w:highlight w:val="none"/>
                <w:lang w:val="en-US" w:eastAsia="zh-CN"/>
              </w:rPr>
              <w:t>会产生有机废气，主要成分为非甲烷总烃；废气经集气罩收集后经</w:t>
            </w:r>
            <w:r>
              <w:rPr>
                <w:rFonts w:hint="eastAsia" w:ascii="Times New Roman" w:hAnsi="Times New Roman" w:cs="Times New Roman"/>
                <w:b w:val="0"/>
                <w:bCs w:val="0"/>
                <w:color w:val="auto"/>
                <w:kern w:val="0"/>
                <w:sz w:val="24"/>
                <w:szCs w:val="20"/>
                <w:highlight w:val="none"/>
                <w:lang w:val="en-US" w:eastAsia="zh-CN"/>
              </w:rPr>
              <w:t>二级活性炭吸附装置</w:t>
            </w:r>
            <w:r>
              <w:rPr>
                <w:rFonts w:hint="default" w:ascii="Times New Roman" w:hAnsi="Times New Roman" w:cs="Times New Roman"/>
                <w:b w:val="0"/>
                <w:bCs w:val="0"/>
                <w:color w:val="auto"/>
                <w:kern w:val="0"/>
                <w:sz w:val="24"/>
                <w:szCs w:val="20"/>
                <w:highlight w:val="none"/>
                <w:lang w:val="en-US" w:eastAsia="zh-CN"/>
              </w:rPr>
              <w:t>处理，最终于1根15m高排气筒</w:t>
            </w:r>
            <w:r>
              <w:rPr>
                <w:rFonts w:hint="eastAsia" w:ascii="Times New Roman" w:hAnsi="Times New Roman" w:cs="Times New Roman"/>
                <w:b w:val="0"/>
                <w:bCs w:val="0"/>
                <w:color w:val="auto"/>
                <w:kern w:val="0"/>
                <w:sz w:val="24"/>
                <w:szCs w:val="20"/>
                <w:highlight w:val="none"/>
                <w:lang w:val="en-US" w:eastAsia="zh-CN"/>
              </w:rPr>
              <w:t>（</w:t>
            </w:r>
            <w:r>
              <w:rPr>
                <w:rFonts w:hint="default" w:ascii="Times New Roman" w:hAnsi="Times New Roman" w:cs="Times New Roman"/>
                <w:b w:val="0"/>
                <w:bCs w:val="0"/>
                <w:color w:val="auto"/>
                <w:kern w:val="0"/>
                <w:sz w:val="24"/>
                <w:szCs w:val="20"/>
                <w:highlight w:val="none"/>
                <w:lang w:val="en-US" w:eastAsia="zh-CN"/>
              </w:rPr>
              <w:t>DA001</w:t>
            </w:r>
            <w:r>
              <w:rPr>
                <w:rFonts w:hint="eastAsia" w:ascii="Times New Roman" w:hAnsi="Times New Roman" w:cs="Times New Roman"/>
                <w:b w:val="0"/>
                <w:bCs w:val="0"/>
                <w:color w:val="auto"/>
                <w:kern w:val="0"/>
                <w:sz w:val="24"/>
                <w:szCs w:val="20"/>
                <w:highlight w:val="none"/>
                <w:lang w:val="en-US" w:eastAsia="zh-CN"/>
              </w:rPr>
              <w:t>）</w:t>
            </w:r>
            <w:r>
              <w:rPr>
                <w:rFonts w:hint="default" w:ascii="Times New Roman" w:hAnsi="Times New Roman" w:cs="Times New Roman"/>
                <w:b w:val="0"/>
                <w:bCs w:val="0"/>
                <w:color w:val="auto"/>
                <w:kern w:val="0"/>
                <w:sz w:val="24"/>
                <w:szCs w:val="20"/>
                <w:highlight w:val="none"/>
                <w:lang w:val="en-US" w:eastAsia="zh-CN"/>
              </w:rPr>
              <w:t>排放，其污染物非甲烷总烃有组织排放执行《印刷行业挥发性有机物排放标准》</w:t>
            </w:r>
            <w:r>
              <w:rPr>
                <w:rFonts w:hint="eastAsia" w:ascii="Times New Roman" w:hAnsi="Times New Roman" w:cs="Times New Roman"/>
                <w:b w:val="0"/>
                <w:bCs w:val="0"/>
                <w:color w:val="auto"/>
                <w:kern w:val="0"/>
                <w:sz w:val="24"/>
                <w:szCs w:val="20"/>
                <w:highlight w:val="none"/>
                <w:lang w:val="en-US" w:eastAsia="zh-CN"/>
              </w:rPr>
              <w:t>（</w:t>
            </w:r>
            <w:r>
              <w:rPr>
                <w:rFonts w:hint="default" w:ascii="Times New Roman" w:hAnsi="Times New Roman" w:cs="Times New Roman"/>
                <w:b w:val="0"/>
                <w:bCs w:val="0"/>
                <w:color w:val="auto"/>
                <w:kern w:val="0"/>
                <w:sz w:val="24"/>
                <w:szCs w:val="20"/>
                <w:highlight w:val="none"/>
                <w:lang w:val="en-US" w:eastAsia="zh-CN"/>
              </w:rPr>
              <w:t>DB 35/1784-2018</w:t>
            </w:r>
            <w:r>
              <w:rPr>
                <w:rFonts w:hint="eastAsia" w:ascii="Times New Roman" w:hAnsi="Times New Roman" w:cs="Times New Roman"/>
                <w:b w:val="0"/>
                <w:bCs w:val="0"/>
                <w:color w:val="auto"/>
                <w:kern w:val="0"/>
                <w:sz w:val="24"/>
                <w:szCs w:val="20"/>
                <w:highlight w:val="none"/>
                <w:lang w:val="en-US" w:eastAsia="zh-CN"/>
              </w:rPr>
              <w:t>）表1标准限值。详见表3.9-2。</w:t>
            </w:r>
          </w:p>
          <w:p w14:paraId="6DFBA23E">
            <w:pPr>
              <w:autoSpaceDE w:val="0"/>
              <w:autoSpaceDN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表3</w:t>
            </w: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 xml:space="preserve"> 项目</w:t>
            </w:r>
            <w:r>
              <w:rPr>
                <w:rFonts w:hint="eastAsia" w:ascii="Times New Roman" w:hAnsi="Times New Roman" w:eastAsia="宋体" w:cs="Times New Roman"/>
                <w:b/>
                <w:bCs/>
                <w:color w:val="auto"/>
                <w:sz w:val="24"/>
                <w:highlight w:val="none"/>
                <w:lang w:val="en-US" w:eastAsia="zh-CN"/>
              </w:rPr>
              <w:t>非甲烷总烃</w:t>
            </w:r>
            <w:r>
              <w:rPr>
                <w:rFonts w:hint="default" w:ascii="Times New Roman" w:hAnsi="Times New Roman" w:cs="Times New Roman"/>
                <w:b/>
                <w:bCs/>
                <w:color w:val="auto"/>
                <w:sz w:val="24"/>
                <w:highlight w:val="none"/>
              </w:rPr>
              <w:t>有组织排放标准</w:t>
            </w:r>
          </w:p>
          <w:tbl>
            <w:tblPr>
              <w:tblStyle w:val="1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978"/>
              <w:gridCol w:w="1545"/>
              <w:gridCol w:w="1539"/>
              <w:gridCol w:w="3188"/>
            </w:tblGrid>
            <w:tr w14:paraId="4DE5D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6" w:type="dxa"/>
                  <w:vAlign w:val="center"/>
                </w:tcPr>
                <w:p w14:paraId="50792A54">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w:t>
                  </w:r>
                </w:p>
              </w:tc>
              <w:tc>
                <w:tcPr>
                  <w:tcW w:w="978" w:type="dxa"/>
                  <w:vAlign w:val="center"/>
                </w:tcPr>
                <w:p w14:paraId="698C1570">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1545" w:type="dxa"/>
                  <w:vAlign w:val="center"/>
                </w:tcPr>
                <w:p w14:paraId="3E1F5FB3">
                  <w:pPr>
                    <w:autoSpaceDE w:val="0"/>
                    <w:autoSpaceDN w:val="0"/>
                    <w:spacing w:line="340" w:lineRule="exact"/>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排放速率限值（kg/h）</w:t>
                  </w:r>
                </w:p>
              </w:tc>
              <w:tc>
                <w:tcPr>
                  <w:tcW w:w="1539" w:type="dxa"/>
                  <w:vAlign w:val="center"/>
                </w:tcPr>
                <w:p w14:paraId="54A73316">
                  <w:pPr>
                    <w:autoSpaceDE w:val="0"/>
                    <w:autoSpaceDN w:val="0"/>
                    <w:spacing w:line="340" w:lineRule="exact"/>
                    <w:jc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排放</w:t>
                  </w:r>
                  <w:r>
                    <w:rPr>
                      <w:rFonts w:hint="eastAsia" w:ascii="Times New Roman" w:hAnsi="Times New Roman" w:cs="Times New Roman"/>
                      <w:color w:val="auto"/>
                      <w:szCs w:val="21"/>
                      <w:highlight w:val="none"/>
                      <w:lang w:val="en-US" w:eastAsia="zh-CN"/>
                    </w:rPr>
                    <w:t>浓度</w:t>
                  </w:r>
                  <w:r>
                    <w:rPr>
                      <w:rFonts w:hint="default" w:ascii="Times New Roman" w:hAnsi="Times New Roman" w:cs="Times New Roman"/>
                      <w:color w:val="auto"/>
                      <w:szCs w:val="21"/>
                      <w:highlight w:val="none"/>
                    </w:rPr>
                    <w:t>限值</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lang w:eastAsia="zh-CN"/>
                    </w:rPr>
                    <w:t>）</w:t>
                  </w:r>
                </w:p>
              </w:tc>
              <w:tc>
                <w:tcPr>
                  <w:tcW w:w="3188" w:type="dxa"/>
                  <w:vAlign w:val="center"/>
                </w:tcPr>
                <w:p w14:paraId="2D5FC3C3">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标准来源</w:t>
                  </w:r>
                </w:p>
              </w:tc>
            </w:tr>
            <w:tr w14:paraId="595BC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6" w:type="dxa"/>
                  <w:vAlign w:val="center"/>
                </w:tcPr>
                <w:p w14:paraId="330C4F68">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DA001</w:t>
                  </w:r>
                </w:p>
              </w:tc>
              <w:tc>
                <w:tcPr>
                  <w:tcW w:w="978" w:type="dxa"/>
                  <w:vAlign w:val="center"/>
                </w:tcPr>
                <w:p w14:paraId="04A213A9">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1545" w:type="dxa"/>
                  <w:vAlign w:val="center"/>
                </w:tcPr>
                <w:p w14:paraId="58D8E1CE">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r>
                    <w:rPr>
                      <w:rFonts w:hint="default" w:ascii="Times New Roman" w:hAnsi="Times New Roman" w:cs="Times New Roman"/>
                      <w:color w:val="auto"/>
                      <w:szCs w:val="21"/>
                      <w:highlight w:val="none"/>
                      <w:vertAlign w:val="superscript"/>
                    </w:rPr>
                    <w:t>a</w:t>
                  </w:r>
                </w:p>
              </w:tc>
              <w:tc>
                <w:tcPr>
                  <w:tcW w:w="1539" w:type="dxa"/>
                  <w:vAlign w:val="center"/>
                </w:tcPr>
                <w:p w14:paraId="135B8A82">
                  <w:pPr>
                    <w:autoSpaceDE w:val="0"/>
                    <w:autoSpaceDN w:val="0"/>
                    <w:spacing w:line="340" w:lineRule="exact"/>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50</w:t>
                  </w:r>
                </w:p>
              </w:tc>
              <w:tc>
                <w:tcPr>
                  <w:tcW w:w="3188" w:type="dxa"/>
                  <w:vAlign w:val="center"/>
                </w:tcPr>
                <w:p w14:paraId="7C0EA84F">
                  <w:pPr>
                    <w:jc w:val="both"/>
                    <w:rPr>
                      <w:rFonts w:hint="eastAsia"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highlight w:val="none"/>
                    </w:rPr>
                    <w:t>《印刷行业挥发性有机物排放标准》</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DB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35/1784-2018</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szCs w:val="21"/>
                      <w:highlight w:val="none"/>
                    </w:rPr>
                    <w:t>表</w:t>
                  </w:r>
                  <w:r>
                    <w:rPr>
                      <w:rFonts w:hint="eastAsia" w:ascii="Times New Roman" w:hAnsi="Times New Roman" w:cs="Times New Roman"/>
                      <w:color w:val="auto"/>
                      <w:szCs w:val="21"/>
                      <w:highlight w:val="none"/>
                      <w:lang w:val="en-US" w:eastAsia="zh-CN"/>
                    </w:rPr>
                    <w:t>1</w:t>
                  </w:r>
                </w:p>
              </w:tc>
            </w:tr>
            <w:tr w14:paraId="6D393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6" w:type="dxa"/>
                  <w:gridSpan w:val="5"/>
                  <w:vAlign w:val="center"/>
                </w:tcPr>
                <w:p w14:paraId="36ECE489">
                  <w:pPr>
                    <w:jc w:val="both"/>
                    <w:rPr>
                      <w:rFonts w:hint="default" w:ascii="Times New Roman" w:hAnsi="Times New Roman" w:cs="Times New Roman"/>
                      <w:color w:val="auto"/>
                      <w:highlight w:val="none"/>
                    </w:rPr>
                  </w:pPr>
                  <w:r>
                    <w:rPr>
                      <w:rFonts w:hint="default" w:ascii="Times New Roman" w:hAnsi="Times New Roman" w:cs="Times New Roman"/>
                      <w:color w:val="auto"/>
                      <w:highlight w:val="none"/>
                      <w:vertAlign w:val="superscript"/>
                    </w:rPr>
                    <w:t>a</w:t>
                  </w:r>
                  <w:r>
                    <w:rPr>
                      <w:rFonts w:hint="default" w:ascii="Times New Roman" w:hAnsi="Times New Roman" w:cs="Times New Roman"/>
                      <w:color w:val="auto"/>
                      <w:highlight w:val="none"/>
                    </w:rPr>
                    <w:t>当非甲烷总烃的去除率≥90%时，等同于满足最高允许排放速率限值要求。</w:t>
                  </w:r>
                </w:p>
              </w:tc>
            </w:tr>
          </w:tbl>
          <w:p w14:paraId="6E66C0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Arial" w:cs="Times New Roman"/>
                <w:b w:val="0"/>
                <w:bCs w:val="0"/>
                <w:snapToGrid w:val="0"/>
                <w:color w:val="auto"/>
                <w:kern w:val="0"/>
                <w:sz w:val="24"/>
                <w:szCs w:val="20"/>
                <w:highlight w:val="none"/>
                <w:lang w:val="en-US" w:eastAsia="zh-CN"/>
              </w:rPr>
            </w:pPr>
            <w:r>
              <w:rPr>
                <w:rFonts w:hint="default" w:ascii="Times New Roman" w:hAnsi="Times New Roman" w:eastAsia="Arial" w:cs="Times New Roman"/>
                <w:b w:val="0"/>
                <w:bCs w:val="0"/>
                <w:snapToGrid w:val="0"/>
                <w:color w:val="auto"/>
                <w:kern w:val="0"/>
                <w:sz w:val="24"/>
                <w:szCs w:val="20"/>
                <w:highlight w:val="none"/>
                <w:lang w:val="en-US" w:eastAsia="zh-CN"/>
              </w:rPr>
              <w:t>项目厂界非甲烷总烃无组织排放标准执行《印刷行业挥发性有机物排放标准》</w:t>
            </w:r>
            <w:r>
              <w:rPr>
                <w:rFonts w:hint="eastAsia" w:ascii="Times New Roman" w:hAnsi="Times New Roman" w:cs="Times New Roman"/>
                <w:b w:val="0"/>
                <w:bCs w:val="0"/>
                <w:snapToGrid w:val="0"/>
                <w:color w:val="auto"/>
                <w:kern w:val="0"/>
                <w:sz w:val="24"/>
                <w:szCs w:val="20"/>
                <w:highlight w:val="none"/>
                <w:lang w:val="en-US" w:eastAsia="zh-CN"/>
              </w:rPr>
              <w:t>（</w:t>
            </w:r>
            <w:r>
              <w:rPr>
                <w:rFonts w:hint="default" w:ascii="Times New Roman" w:hAnsi="Times New Roman" w:eastAsia="Arial" w:cs="Times New Roman"/>
                <w:b w:val="0"/>
                <w:bCs w:val="0"/>
                <w:snapToGrid w:val="0"/>
                <w:color w:val="auto"/>
                <w:kern w:val="0"/>
                <w:sz w:val="24"/>
                <w:szCs w:val="20"/>
                <w:highlight w:val="none"/>
                <w:lang w:val="en-US" w:eastAsia="zh-CN"/>
              </w:rPr>
              <w:t>DB 35/1784-2018</w:t>
            </w:r>
            <w:r>
              <w:rPr>
                <w:rFonts w:hint="eastAsia" w:ascii="Times New Roman" w:hAnsi="Times New Roman" w:cs="Times New Roman"/>
                <w:b w:val="0"/>
                <w:bCs w:val="0"/>
                <w:snapToGrid w:val="0"/>
                <w:color w:val="auto"/>
                <w:kern w:val="0"/>
                <w:sz w:val="24"/>
                <w:szCs w:val="20"/>
                <w:highlight w:val="none"/>
                <w:lang w:val="en-US" w:eastAsia="zh-CN"/>
              </w:rPr>
              <w:t>）</w:t>
            </w:r>
            <w:r>
              <w:rPr>
                <w:rFonts w:hint="default" w:ascii="Times New Roman" w:hAnsi="Times New Roman" w:eastAsia="Arial" w:cs="Times New Roman"/>
                <w:b w:val="0"/>
                <w:bCs w:val="0"/>
                <w:snapToGrid w:val="0"/>
                <w:color w:val="auto"/>
                <w:kern w:val="0"/>
                <w:sz w:val="24"/>
                <w:szCs w:val="20"/>
                <w:highlight w:val="none"/>
                <w:lang w:val="en-US" w:eastAsia="zh-CN"/>
              </w:rPr>
              <w:t>表3标准限值，详见表3</w:t>
            </w:r>
            <w:r>
              <w:rPr>
                <w:rFonts w:hint="eastAsia" w:ascii="Times New Roman" w:hAnsi="Times New Roman" w:cs="Times New Roman"/>
                <w:b w:val="0"/>
                <w:bCs w:val="0"/>
                <w:snapToGrid w:val="0"/>
                <w:color w:val="auto"/>
                <w:kern w:val="0"/>
                <w:sz w:val="24"/>
                <w:szCs w:val="20"/>
                <w:highlight w:val="none"/>
                <w:lang w:val="en-US" w:eastAsia="zh-CN"/>
              </w:rPr>
              <w:t>.9</w:t>
            </w:r>
            <w:r>
              <w:rPr>
                <w:rFonts w:hint="default" w:ascii="Times New Roman" w:hAnsi="Times New Roman" w:eastAsia="Arial" w:cs="Times New Roman"/>
                <w:b w:val="0"/>
                <w:bCs w:val="0"/>
                <w:snapToGrid w:val="0"/>
                <w:color w:val="auto"/>
                <w:kern w:val="0"/>
                <w:sz w:val="24"/>
                <w:szCs w:val="20"/>
                <w:highlight w:val="none"/>
                <w:lang w:val="en-US" w:eastAsia="zh-CN"/>
              </w:rPr>
              <w:t>-3。</w:t>
            </w:r>
          </w:p>
          <w:p w14:paraId="6CE7FD97">
            <w:pPr>
              <w:autoSpaceDE w:val="0"/>
              <w:autoSpaceDN w:val="0"/>
              <w:spacing w:before="120" w:beforeLines="5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表3</w:t>
            </w: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 xml:space="preserve"> 项目</w:t>
            </w:r>
            <w:r>
              <w:rPr>
                <w:rFonts w:hint="eastAsia" w:ascii="Times New Roman" w:hAnsi="Times New Roman" w:eastAsia="宋体" w:cs="Times New Roman"/>
                <w:b/>
                <w:bCs/>
                <w:color w:val="auto"/>
                <w:sz w:val="24"/>
                <w:highlight w:val="none"/>
                <w:lang w:val="en-US" w:eastAsia="zh-CN"/>
              </w:rPr>
              <w:t>厂界</w:t>
            </w:r>
            <w:r>
              <w:rPr>
                <w:rFonts w:hint="default" w:ascii="Times New Roman" w:hAnsi="Times New Roman" w:cs="Times New Roman"/>
                <w:b/>
                <w:bCs/>
                <w:color w:val="auto"/>
                <w:sz w:val="24"/>
                <w:highlight w:val="none"/>
                <w:lang w:val="en-US" w:eastAsia="zh-CN"/>
              </w:rPr>
              <w:t>非甲烷总烃</w:t>
            </w:r>
            <w:r>
              <w:rPr>
                <w:rFonts w:hint="default" w:ascii="Times New Roman" w:hAnsi="Times New Roman" w:cs="Times New Roman"/>
                <w:b/>
                <w:bCs/>
                <w:color w:val="auto"/>
                <w:sz w:val="24"/>
                <w:highlight w:val="none"/>
              </w:rPr>
              <w:t>无组织排放标准</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2179"/>
              <w:gridCol w:w="4214"/>
            </w:tblGrid>
            <w:tr w14:paraId="22730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2" w:type="dxa"/>
                  <w:vAlign w:val="center"/>
                </w:tcPr>
                <w:p w14:paraId="1AF88544">
                  <w:pPr>
                    <w:autoSpaceDE w:val="0"/>
                    <w:autoSpaceDN w:val="0"/>
                    <w:spacing w:line="3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179" w:type="dxa"/>
                  <w:vAlign w:val="center"/>
                </w:tcPr>
                <w:p w14:paraId="4B1D3B79">
                  <w:pPr>
                    <w:autoSpaceDE w:val="0"/>
                    <w:autoSpaceDN w:val="0"/>
                    <w:spacing w:line="34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排放浓度</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lang w:eastAsia="zh-CN"/>
                    </w:rPr>
                    <w:t>）</w:t>
                  </w:r>
                </w:p>
              </w:tc>
              <w:tc>
                <w:tcPr>
                  <w:tcW w:w="4214" w:type="dxa"/>
                  <w:vAlign w:val="center"/>
                </w:tcPr>
                <w:p w14:paraId="3B7F6C85">
                  <w:pPr>
                    <w:autoSpaceDE w:val="0"/>
                    <w:autoSpaceDN w:val="0"/>
                    <w:spacing w:line="3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14:paraId="6897A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2" w:type="dxa"/>
                  <w:vAlign w:val="center"/>
                </w:tcPr>
                <w:p w14:paraId="313F8688">
                  <w:pPr>
                    <w:autoSpaceDE w:val="0"/>
                    <w:autoSpaceDN w:val="0"/>
                    <w:spacing w:line="3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2179" w:type="dxa"/>
                  <w:vAlign w:val="center"/>
                </w:tcPr>
                <w:p w14:paraId="6D18E63F">
                  <w:pPr>
                    <w:autoSpaceDE w:val="0"/>
                    <w:autoSpaceDN w:val="0"/>
                    <w:spacing w:line="3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.0</w:t>
                  </w:r>
                </w:p>
              </w:tc>
              <w:tc>
                <w:tcPr>
                  <w:tcW w:w="4214" w:type="dxa"/>
                  <w:vAlign w:val="center"/>
                </w:tcPr>
                <w:p w14:paraId="6F45ECBB">
                  <w:pPr>
                    <w:autoSpaceDE w:val="0"/>
                    <w:autoSpaceDN w:val="0"/>
                    <w:spacing w:line="34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b w:val="0"/>
                      <w:bCs w:val="0"/>
                      <w:snapToGrid w:val="0"/>
                      <w:color w:val="auto"/>
                      <w:kern w:val="0"/>
                      <w:sz w:val="21"/>
                      <w:szCs w:val="21"/>
                      <w:highlight w:val="none"/>
                      <w:lang w:val="en-US" w:eastAsia="zh-CN"/>
                    </w:rPr>
                    <w:t>《</w:t>
                  </w:r>
                  <w:r>
                    <w:rPr>
                      <w:rFonts w:hint="default" w:ascii="Times New Roman" w:hAnsi="Times New Roman" w:eastAsia="Arial" w:cs="Times New Roman"/>
                      <w:b w:val="0"/>
                      <w:bCs w:val="0"/>
                      <w:snapToGrid w:val="0"/>
                      <w:color w:val="auto"/>
                      <w:kern w:val="0"/>
                      <w:sz w:val="21"/>
                      <w:szCs w:val="21"/>
                      <w:highlight w:val="none"/>
                      <w:lang w:val="en-US" w:eastAsia="zh-CN"/>
                    </w:rPr>
                    <w:t>印刷行业挥发性有机物排放标准》</w:t>
                  </w:r>
                  <w:r>
                    <w:rPr>
                      <w:rFonts w:hint="eastAsia" w:ascii="Times New Roman" w:hAnsi="Times New Roman" w:cs="Times New Roman"/>
                      <w:b w:val="0"/>
                      <w:bCs w:val="0"/>
                      <w:snapToGrid w:val="0"/>
                      <w:color w:val="auto"/>
                      <w:kern w:val="0"/>
                      <w:sz w:val="21"/>
                      <w:szCs w:val="21"/>
                      <w:highlight w:val="none"/>
                      <w:lang w:val="en-US" w:eastAsia="zh-CN"/>
                    </w:rPr>
                    <w:t>（</w:t>
                  </w:r>
                  <w:r>
                    <w:rPr>
                      <w:rFonts w:hint="default" w:ascii="Times New Roman" w:hAnsi="Times New Roman" w:eastAsia="Arial" w:cs="Times New Roman"/>
                      <w:b w:val="0"/>
                      <w:bCs w:val="0"/>
                      <w:snapToGrid w:val="0"/>
                      <w:color w:val="auto"/>
                      <w:kern w:val="0"/>
                      <w:sz w:val="21"/>
                      <w:szCs w:val="21"/>
                      <w:highlight w:val="none"/>
                      <w:lang w:val="en-US" w:eastAsia="zh-CN"/>
                    </w:rPr>
                    <w:t>DB 35/1784-2018</w:t>
                  </w:r>
                  <w:r>
                    <w:rPr>
                      <w:rFonts w:hint="eastAsia" w:ascii="Times New Roman" w:hAnsi="Times New Roman" w:cs="Times New Roman"/>
                      <w:b w:val="0"/>
                      <w:bCs w:val="0"/>
                      <w:snapToGrid w:val="0"/>
                      <w:color w:val="auto"/>
                      <w:kern w:val="0"/>
                      <w:sz w:val="21"/>
                      <w:szCs w:val="21"/>
                      <w:highlight w:val="none"/>
                      <w:lang w:val="en-US" w:eastAsia="zh-CN"/>
                    </w:rPr>
                    <w:t>）</w:t>
                  </w:r>
                  <w:r>
                    <w:rPr>
                      <w:rFonts w:hint="default" w:ascii="Times New Roman" w:hAnsi="Times New Roman" w:eastAsia="Arial" w:cs="Times New Roman"/>
                      <w:b w:val="0"/>
                      <w:bCs w:val="0"/>
                      <w:snapToGrid w:val="0"/>
                      <w:color w:val="auto"/>
                      <w:kern w:val="0"/>
                      <w:sz w:val="21"/>
                      <w:szCs w:val="21"/>
                      <w:highlight w:val="none"/>
                      <w:lang w:val="en-US" w:eastAsia="zh-CN"/>
                    </w:rPr>
                    <w:t>表3</w:t>
                  </w:r>
                </w:p>
              </w:tc>
            </w:tr>
          </w:tbl>
          <w:p w14:paraId="71AB52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Arial" w:cs="Times New Roman"/>
                <w:b w:val="0"/>
                <w:bCs w:val="0"/>
                <w:snapToGrid w:val="0"/>
                <w:color w:val="auto"/>
                <w:kern w:val="0"/>
                <w:sz w:val="24"/>
                <w:szCs w:val="20"/>
                <w:highlight w:val="none"/>
                <w:lang w:val="en-US" w:eastAsia="zh-CN"/>
              </w:rPr>
            </w:pPr>
            <w:r>
              <w:rPr>
                <w:rFonts w:hint="eastAsia" w:ascii="Times New Roman" w:hAnsi="Times New Roman" w:eastAsia="Arial" w:cs="Times New Roman"/>
                <w:b w:val="0"/>
                <w:bCs w:val="0"/>
                <w:snapToGrid w:val="0"/>
                <w:color w:val="auto"/>
                <w:kern w:val="0"/>
                <w:sz w:val="24"/>
                <w:szCs w:val="20"/>
                <w:highlight w:val="none"/>
                <w:lang w:val="en-US" w:eastAsia="zh-CN"/>
              </w:rPr>
              <w:t>根据对比，项目厂区内非甲烷总烃1 h平均浓度值执行</w:t>
            </w:r>
            <w:r>
              <w:rPr>
                <w:rFonts w:hint="default" w:ascii="Times New Roman" w:hAnsi="Times New Roman" w:cs="Times New Roman"/>
                <w:color w:val="auto"/>
                <w:sz w:val="24"/>
                <w:szCs w:val="32"/>
                <w:highlight w:val="none"/>
              </w:rPr>
              <w:t>《印刷行业挥发性有机物排放标准》</w:t>
            </w:r>
            <w:r>
              <w:rPr>
                <w:rFonts w:hint="eastAsia" w:ascii="Times New Roman" w:hAnsi="Times New Roman" w:eastAsia="宋体" w:cs="Times New Roman"/>
                <w:color w:val="auto"/>
                <w:sz w:val="24"/>
                <w:szCs w:val="32"/>
                <w:highlight w:val="none"/>
                <w:lang w:eastAsia="zh-CN"/>
              </w:rPr>
              <w:t>（</w:t>
            </w:r>
            <w:r>
              <w:rPr>
                <w:rFonts w:hint="default" w:ascii="Times New Roman" w:hAnsi="Times New Roman" w:cs="Times New Roman"/>
                <w:color w:val="auto"/>
                <w:sz w:val="24"/>
                <w:szCs w:val="32"/>
                <w:highlight w:val="none"/>
              </w:rPr>
              <w:t>DB</w:t>
            </w:r>
            <w:r>
              <w:rPr>
                <w:rFonts w:hint="default" w:ascii="Times New Roman" w:hAnsi="Times New Roman" w:cs="Times New Roman"/>
                <w:color w:val="auto"/>
                <w:sz w:val="24"/>
                <w:szCs w:val="32"/>
                <w:highlight w:val="none"/>
                <w:lang w:val="en-US" w:eastAsia="zh-CN"/>
              </w:rPr>
              <w:t xml:space="preserve"> </w:t>
            </w:r>
            <w:r>
              <w:rPr>
                <w:rFonts w:hint="default" w:ascii="Times New Roman" w:hAnsi="Times New Roman" w:cs="Times New Roman"/>
                <w:color w:val="auto"/>
                <w:sz w:val="24"/>
                <w:szCs w:val="32"/>
                <w:highlight w:val="none"/>
              </w:rPr>
              <w:t>35/1784-2018</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Arial" w:cs="Times New Roman"/>
                <w:b w:val="0"/>
                <w:bCs w:val="0"/>
                <w:snapToGrid w:val="0"/>
                <w:color w:val="auto"/>
                <w:kern w:val="0"/>
                <w:sz w:val="24"/>
                <w:szCs w:val="20"/>
                <w:highlight w:val="none"/>
                <w:lang w:val="en-US" w:eastAsia="zh-CN"/>
              </w:rPr>
              <w:t>表2标准限值，任意一次浓度值执行《挥发</w:t>
            </w:r>
            <w:r>
              <w:rPr>
                <w:rFonts w:hint="default" w:ascii="Times New Roman" w:hAnsi="Times New Roman" w:eastAsia="Arial" w:cs="Times New Roman"/>
                <w:b w:val="0"/>
                <w:bCs w:val="0"/>
                <w:snapToGrid w:val="0"/>
                <w:color w:val="auto"/>
                <w:kern w:val="0"/>
                <w:sz w:val="24"/>
                <w:szCs w:val="20"/>
                <w:highlight w:val="none"/>
                <w:lang w:val="en-US" w:eastAsia="zh-CN"/>
              </w:rPr>
              <w:t>性有机物无组织排放控制标准》</w:t>
            </w:r>
            <w:r>
              <w:rPr>
                <w:rFonts w:hint="eastAsia" w:ascii="Times New Roman" w:hAnsi="Times New Roman" w:cs="Times New Roman"/>
                <w:b w:val="0"/>
                <w:bCs w:val="0"/>
                <w:snapToGrid w:val="0"/>
                <w:color w:val="auto"/>
                <w:kern w:val="0"/>
                <w:sz w:val="24"/>
                <w:szCs w:val="20"/>
                <w:highlight w:val="none"/>
                <w:lang w:val="en-US" w:eastAsia="zh-CN"/>
              </w:rPr>
              <w:t>（</w:t>
            </w:r>
            <w:r>
              <w:rPr>
                <w:rFonts w:hint="default" w:ascii="Times New Roman" w:hAnsi="Times New Roman" w:eastAsia="Arial" w:cs="Times New Roman"/>
                <w:b w:val="0"/>
                <w:bCs w:val="0"/>
                <w:snapToGrid w:val="0"/>
                <w:color w:val="auto"/>
                <w:kern w:val="0"/>
                <w:sz w:val="24"/>
                <w:szCs w:val="20"/>
                <w:highlight w:val="none"/>
                <w:lang w:val="en-US" w:eastAsia="zh-CN"/>
              </w:rPr>
              <w:t>GB</w:t>
            </w:r>
            <w:r>
              <w:rPr>
                <w:rFonts w:hint="eastAsia" w:ascii="Times New Roman" w:hAnsi="Times New Roman" w:eastAsia="Arial" w:cs="Times New Roman"/>
                <w:b w:val="0"/>
                <w:bCs w:val="0"/>
                <w:snapToGrid w:val="0"/>
                <w:color w:val="auto"/>
                <w:kern w:val="0"/>
                <w:sz w:val="24"/>
                <w:szCs w:val="20"/>
                <w:highlight w:val="none"/>
                <w:lang w:val="en-US" w:eastAsia="zh-CN"/>
              </w:rPr>
              <w:t xml:space="preserve"> </w:t>
            </w:r>
            <w:r>
              <w:rPr>
                <w:rFonts w:hint="default" w:ascii="Times New Roman" w:hAnsi="Times New Roman" w:eastAsia="Arial" w:cs="Times New Roman"/>
                <w:b w:val="0"/>
                <w:bCs w:val="0"/>
                <w:snapToGrid w:val="0"/>
                <w:color w:val="auto"/>
                <w:kern w:val="0"/>
                <w:sz w:val="24"/>
                <w:szCs w:val="20"/>
                <w:highlight w:val="none"/>
                <w:lang w:val="en-US" w:eastAsia="zh-CN"/>
              </w:rPr>
              <w:t>37822-2019</w:t>
            </w:r>
            <w:r>
              <w:rPr>
                <w:rFonts w:hint="eastAsia" w:ascii="Times New Roman" w:hAnsi="Times New Roman" w:cs="Times New Roman"/>
                <w:b w:val="0"/>
                <w:bCs w:val="0"/>
                <w:snapToGrid w:val="0"/>
                <w:color w:val="auto"/>
                <w:kern w:val="0"/>
                <w:sz w:val="24"/>
                <w:szCs w:val="20"/>
                <w:highlight w:val="none"/>
                <w:lang w:val="en-US" w:eastAsia="zh-CN"/>
              </w:rPr>
              <w:t>）</w:t>
            </w:r>
            <w:r>
              <w:rPr>
                <w:rFonts w:hint="default" w:ascii="Times New Roman" w:hAnsi="Times New Roman" w:eastAsia="Arial" w:cs="Times New Roman"/>
                <w:b w:val="0"/>
                <w:bCs w:val="0"/>
                <w:snapToGrid w:val="0"/>
                <w:color w:val="auto"/>
                <w:kern w:val="0"/>
                <w:sz w:val="24"/>
                <w:szCs w:val="20"/>
                <w:highlight w:val="none"/>
                <w:lang w:val="en-US" w:eastAsia="zh-CN"/>
              </w:rPr>
              <w:t>附录A标准限值。</w:t>
            </w:r>
            <w:r>
              <w:rPr>
                <w:rFonts w:hint="eastAsia" w:ascii="Times New Roman" w:hAnsi="Times New Roman" w:eastAsia="Arial" w:cs="Times New Roman"/>
                <w:b w:val="0"/>
                <w:bCs w:val="0"/>
                <w:snapToGrid w:val="0"/>
                <w:color w:val="auto"/>
                <w:kern w:val="0"/>
                <w:sz w:val="24"/>
                <w:szCs w:val="20"/>
                <w:highlight w:val="none"/>
                <w:lang w:val="en-US" w:eastAsia="zh-CN"/>
              </w:rPr>
              <w:t>详见表3</w:t>
            </w:r>
            <w:r>
              <w:rPr>
                <w:rFonts w:hint="eastAsia" w:ascii="Times New Roman" w:hAnsi="Times New Roman" w:cs="Times New Roman"/>
                <w:b w:val="0"/>
                <w:bCs w:val="0"/>
                <w:snapToGrid w:val="0"/>
                <w:color w:val="auto"/>
                <w:kern w:val="0"/>
                <w:sz w:val="24"/>
                <w:szCs w:val="20"/>
                <w:highlight w:val="none"/>
                <w:lang w:val="en-US" w:eastAsia="zh-CN"/>
              </w:rPr>
              <w:t>.9</w:t>
            </w:r>
            <w:r>
              <w:rPr>
                <w:rFonts w:hint="eastAsia" w:ascii="Times New Roman" w:hAnsi="Times New Roman" w:eastAsia="Arial" w:cs="Times New Roman"/>
                <w:b w:val="0"/>
                <w:bCs w:val="0"/>
                <w:snapToGrid w:val="0"/>
                <w:color w:val="auto"/>
                <w:kern w:val="0"/>
                <w:sz w:val="24"/>
                <w:szCs w:val="20"/>
                <w:highlight w:val="none"/>
                <w:lang w:val="en-US" w:eastAsia="zh-CN"/>
              </w:rPr>
              <w:t>-4</w:t>
            </w:r>
            <w:r>
              <w:rPr>
                <w:rFonts w:hint="eastAsia" w:ascii="Times New Roman" w:hAnsi="Times New Roman" w:cs="Times New Roman"/>
                <w:b w:val="0"/>
                <w:bCs w:val="0"/>
                <w:snapToGrid w:val="0"/>
                <w:color w:val="auto"/>
                <w:kern w:val="0"/>
                <w:sz w:val="24"/>
                <w:szCs w:val="20"/>
                <w:highlight w:val="none"/>
                <w:lang w:val="en-US" w:eastAsia="zh-CN"/>
              </w:rPr>
              <w:t>。</w:t>
            </w:r>
          </w:p>
          <w:p w14:paraId="213085E2">
            <w:pPr>
              <w:autoSpaceDE w:val="0"/>
              <w:autoSpaceDN w:val="0"/>
              <w:spacing w:before="120" w:beforeLines="5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表3</w:t>
            </w: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cs="Times New Roman"/>
                <w:b/>
                <w:bCs/>
                <w:color w:val="auto"/>
                <w:sz w:val="24"/>
                <w:highlight w:val="none"/>
              </w:rPr>
              <w:t>-</w:t>
            </w: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 xml:space="preserve"> 项目厂区内非甲烷总烃无组织排放执行标准一览表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334"/>
              <w:gridCol w:w="2064"/>
              <w:gridCol w:w="3801"/>
            </w:tblGrid>
            <w:tr w14:paraId="617D5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10" w:type="dxa"/>
                  <w:gridSpan w:val="2"/>
                  <w:vAlign w:val="center"/>
                </w:tcPr>
                <w:p w14:paraId="5D8CF3CF">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2064" w:type="dxa"/>
                  <w:vAlign w:val="center"/>
                </w:tcPr>
                <w:p w14:paraId="03723BB2">
                  <w:pPr>
                    <w:autoSpaceDE w:val="0"/>
                    <w:autoSpaceDN w:val="0"/>
                    <w:spacing w:line="340" w:lineRule="exact"/>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浓度限值</w:t>
                  </w: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eastAsia="宋体" w:cs="Times New Roman"/>
                      <w:color w:val="auto"/>
                      <w:szCs w:val="21"/>
                      <w:highlight w:val="none"/>
                      <w:lang w:eastAsia="zh-CN"/>
                    </w:rPr>
                    <w:t>）</w:t>
                  </w:r>
                </w:p>
              </w:tc>
              <w:tc>
                <w:tcPr>
                  <w:tcW w:w="3801" w:type="dxa"/>
                  <w:vAlign w:val="center"/>
                </w:tcPr>
                <w:p w14:paraId="5068D9EE">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标准来源</w:t>
                  </w:r>
                </w:p>
              </w:tc>
            </w:tr>
            <w:tr w14:paraId="37BC9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 w:type="dxa"/>
                  <w:vMerge w:val="restart"/>
                  <w:vAlign w:val="center"/>
                </w:tcPr>
                <w:p w14:paraId="7CAF4BEE">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非甲烷总烃</w:t>
                  </w:r>
                </w:p>
              </w:tc>
              <w:tc>
                <w:tcPr>
                  <w:tcW w:w="1334" w:type="dxa"/>
                  <w:vAlign w:val="center"/>
                </w:tcPr>
                <w:p w14:paraId="20845466">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1h平均值</w:t>
                  </w:r>
                </w:p>
              </w:tc>
              <w:tc>
                <w:tcPr>
                  <w:tcW w:w="2064" w:type="dxa"/>
                  <w:vAlign w:val="center"/>
                </w:tcPr>
                <w:p w14:paraId="0FA68481">
                  <w:pPr>
                    <w:autoSpaceDE w:val="0"/>
                    <w:autoSpaceDN w:val="0"/>
                    <w:spacing w:line="340" w:lineRule="exact"/>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val="en-US" w:eastAsia="zh-CN"/>
                    </w:rPr>
                    <w:t>8</w:t>
                  </w:r>
                </w:p>
              </w:tc>
              <w:tc>
                <w:tcPr>
                  <w:tcW w:w="3801" w:type="dxa"/>
                  <w:vAlign w:val="center"/>
                </w:tcPr>
                <w:p w14:paraId="6E7FCBDC">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《印刷行业挥发性有机物排放标准》</w:t>
                  </w: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Cs w:val="21"/>
                      <w:highlight w:val="none"/>
                    </w:rPr>
                    <w:t>DB 35/1784-2018</w:t>
                  </w: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Cs w:val="21"/>
                      <w:highlight w:val="none"/>
                    </w:rPr>
                    <w:t>表2标准限值</w:t>
                  </w:r>
                </w:p>
              </w:tc>
            </w:tr>
            <w:tr w14:paraId="679A3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6" w:type="dxa"/>
                  <w:vMerge w:val="continue"/>
                  <w:vAlign w:val="center"/>
                </w:tcPr>
                <w:p w14:paraId="247C4AEC">
                  <w:pPr>
                    <w:autoSpaceDE w:val="0"/>
                    <w:autoSpaceDN w:val="0"/>
                    <w:spacing w:line="340" w:lineRule="exact"/>
                    <w:jc w:val="center"/>
                    <w:rPr>
                      <w:rFonts w:hint="default" w:ascii="Times New Roman" w:hAnsi="Times New Roman" w:cs="Times New Roman"/>
                      <w:color w:val="auto"/>
                      <w:szCs w:val="21"/>
                      <w:highlight w:val="none"/>
                    </w:rPr>
                  </w:pPr>
                </w:p>
              </w:tc>
              <w:tc>
                <w:tcPr>
                  <w:tcW w:w="1334" w:type="dxa"/>
                  <w:vAlign w:val="center"/>
                </w:tcPr>
                <w:p w14:paraId="5946A34A">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任意一次值</w:t>
                  </w:r>
                </w:p>
              </w:tc>
              <w:tc>
                <w:tcPr>
                  <w:tcW w:w="2064" w:type="dxa"/>
                  <w:vAlign w:val="center"/>
                </w:tcPr>
                <w:p w14:paraId="05F32541">
                  <w:pPr>
                    <w:autoSpaceDE w:val="0"/>
                    <w:autoSpaceDN w:val="0"/>
                    <w:spacing w:line="3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c>
                <w:tcPr>
                  <w:tcW w:w="3801" w:type="dxa"/>
                  <w:vAlign w:val="center"/>
                </w:tcPr>
                <w:p w14:paraId="0F05ABBD">
                  <w:pPr>
                    <w:autoSpaceDE w:val="0"/>
                    <w:autoSpaceDN w:val="0"/>
                    <w:spacing w:line="340" w:lineRule="exact"/>
                    <w:jc w:val="center"/>
                    <w:rPr>
                      <w:rFonts w:hint="default" w:ascii="Times New Roman" w:hAnsi="Times New Roman" w:cs="Times New Roman"/>
                      <w:color w:val="auto"/>
                      <w:szCs w:val="21"/>
                      <w:highlight w:val="none"/>
                    </w:rPr>
                  </w:pPr>
                  <w:r>
                    <w:rPr>
                      <w:rFonts w:hint="eastAsia" w:ascii="Times New Roman" w:hAnsi="Times New Roman" w:eastAsia="Arial" w:cs="Times New Roman"/>
                      <w:b w:val="0"/>
                      <w:bCs w:val="0"/>
                      <w:snapToGrid w:val="0"/>
                      <w:color w:val="auto"/>
                      <w:kern w:val="0"/>
                      <w:sz w:val="21"/>
                      <w:szCs w:val="16"/>
                      <w:highlight w:val="none"/>
                      <w:lang w:val="en-US" w:eastAsia="zh-CN"/>
                    </w:rPr>
                    <w:t>《挥发</w:t>
                  </w:r>
                  <w:r>
                    <w:rPr>
                      <w:rFonts w:hint="default" w:ascii="Times New Roman" w:hAnsi="Times New Roman" w:eastAsia="Arial" w:cs="Times New Roman"/>
                      <w:b w:val="0"/>
                      <w:bCs w:val="0"/>
                      <w:snapToGrid w:val="0"/>
                      <w:color w:val="auto"/>
                      <w:kern w:val="0"/>
                      <w:sz w:val="21"/>
                      <w:szCs w:val="16"/>
                      <w:highlight w:val="none"/>
                      <w:lang w:val="en-US" w:eastAsia="zh-CN"/>
                    </w:rPr>
                    <w:t>性有机物无组织排放控制标准》</w:t>
                  </w:r>
                  <w:r>
                    <w:rPr>
                      <w:rFonts w:hint="eastAsia" w:ascii="Times New Roman" w:hAnsi="Times New Roman" w:cs="Times New Roman"/>
                      <w:b w:val="0"/>
                      <w:bCs w:val="0"/>
                      <w:snapToGrid w:val="0"/>
                      <w:color w:val="auto"/>
                      <w:kern w:val="0"/>
                      <w:sz w:val="21"/>
                      <w:szCs w:val="16"/>
                      <w:highlight w:val="none"/>
                      <w:lang w:val="en-US" w:eastAsia="zh-CN"/>
                    </w:rPr>
                    <w:t>（</w:t>
                  </w:r>
                  <w:r>
                    <w:rPr>
                      <w:rFonts w:hint="default" w:ascii="Times New Roman" w:hAnsi="Times New Roman" w:eastAsia="Arial" w:cs="Times New Roman"/>
                      <w:b w:val="0"/>
                      <w:bCs w:val="0"/>
                      <w:snapToGrid w:val="0"/>
                      <w:color w:val="auto"/>
                      <w:kern w:val="0"/>
                      <w:sz w:val="21"/>
                      <w:szCs w:val="16"/>
                      <w:highlight w:val="none"/>
                      <w:lang w:val="en-US" w:eastAsia="zh-CN"/>
                    </w:rPr>
                    <w:t>GB</w:t>
                  </w:r>
                  <w:r>
                    <w:rPr>
                      <w:rFonts w:hint="eastAsia" w:ascii="Times New Roman" w:hAnsi="Times New Roman" w:eastAsia="Arial" w:cs="Times New Roman"/>
                      <w:b w:val="0"/>
                      <w:bCs w:val="0"/>
                      <w:snapToGrid w:val="0"/>
                      <w:color w:val="auto"/>
                      <w:kern w:val="0"/>
                      <w:sz w:val="21"/>
                      <w:szCs w:val="16"/>
                      <w:highlight w:val="none"/>
                      <w:lang w:val="en-US" w:eastAsia="zh-CN"/>
                    </w:rPr>
                    <w:t xml:space="preserve"> </w:t>
                  </w:r>
                  <w:r>
                    <w:rPr>
                      <w:rFonts w:hint="default" w:ascii="Times New Roman" w:hAnsi="Times New Roman" w:eastAsia="Arial" w:cs="Times New Roman"/>
                      <w:b w:val="0"/>
                      <w:bCs w:val="0"/>
                      <w:snapToGrid w:val="0"/>
                      <w:color w:val="auto"/>
                      <w:kern w:val="0"/>
                      <w:sz w:val="21"/>
                      <w:szCs w:val="16"/>
                      <w:highlight w:val="none"/>
                      <w:lang w:val="en-US" w:eastAsia="zh-CN"/>
                    </w:rPr>
                    <w:t>37822-2019</w:t>
                  </w:r>
                  <w:r>
                    <w:rPr>
                      <w:rFonts w:hint="eastAsia" w:ascii="Times New Roman" w:hAnsi="Times New Roman" w:cs="Times New Roman"/>
                      <w:b w:val="0"/>
                      <w:bCs w:val="0"/>
                      <w:snapToGrid w:val="0"/>
                      <w:color w:val="auto"/>
                      <w:kern w:val="0"/>
                      <w:sz w:val="21"/>
                      <w:szCs w:val="16"/>
                      <w:highlight w:val="none"/>
                      <w:lang w:val="en-US" w:eastAsia="zh-CN"/>
                    </w:rPr>
                    <w:t>）</w:t>
                  </w:r>
                  <w:r>
                    <w:rPr>
                      <w:rFonts w:hint="default" w:ascii="Times New Roman" w:hAnsi="Times New Roman" w:eastAsia="Arial" w:cs="Times New Roman"/>
                      <w:b w:val="0"/>
                      <w:bCs w:val="0"/>
                      <w:snapToGrid w:val="0"/>
                      <w:color w:val="auto"/>
                      <w:kern w:val="0"/>
                      <w:sz w:val="21"/>
                      <w:szCs w:val="16"/>
                      <w:highlight w:val="none"/>
                      <w:lang w:val="en-US" w:eastAsia="zh-CN"/>
                    </w:rPr>
                    <w:t>附录A标准限值</w:t>
                  </w:r>
                </w:p>
              </w:tc>
            </w:tr>
          </w:tbl>
          <w:p w14:paraId="3A25DD4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kern w:val="0"/>
                <w:sz w:val="24"/>
                <w:szCs w:val="20"/>
                <w:highlight w:val="none"/>
                <w:lang w:val="en-US" w:eastAsia="zh-CN"/>
              </w:rPr>
            </w:pPr>
            <w:r>
              <w:rPr>
                <w:rFonts w:hint="default" w:ascii="Times New Roman" w:hAnsi="Times New Roman" w:eastAsia="宋体" w:cs="Times New Roman"/>
                <w:b/>
                <w:bCs/>
                <w:color w:val="000000"/>
                <w:kern w:val="0"/>
                <w:sz w:val="24"/>
                <w:szCs w:val="20"/>
                <w:highlight w:val="none"/>
                <w:lang w:val="en-US" w:eastAsia="zh-CN"/>
              </w:rPr>
              <w:t>3.9.3 噪声</w:t>
            </w:r>
          </w:p>
          <w:p w14:paraId="3E1C08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kern w:val="0"/>
                <w:sz w:val="24"/>
                <w:szCs w:val="20"/>
                <w:highlight w:val="none"/>
                <w:lang w:val="en-US" w:eastAsia="zh-CN"/>
              </w:rPr>
            </w:pPr>
            <w:r>
              <w:rPr>
                <w:rFonts w:hint="default" w:ascii="Times New Roman" w:hAnsi="Times New Roman" w:cs="Times New Roman"/>
                <w:b w:val="0"/>
                <w:bCs w:val="0"/>
                <w:color w:val="000000"/>
                <w:kern w:val="0"/>
                <w:sz w:val="24"/>
                <w:szCs w:val="20"/>
                <w:highlight w:val="none"/>
                <w:lang w:val="en-US" w:eastAsia="zh-CN"/>
              </w:rPr>
              <w:t>根据工艺分析，运营期项目噪声主要来源于生产过程中</w:t>
            </w:r>
            <w:r>
              <w:rPr>
                <w:rFonts w:hint="eastAsia" w:ascii="Times New Roman" w:hAnsi="Times New Roman" w:cs="Times New Roman"/>
                <w:b w:val="0"/>
                <w:bCs w:val="0"/>
                <w:color w:val="000000"/>
                <w:kern w:val="0"/>
                <w:sz w:val="24"/>
                <w:szCs w:val="20"/>
                <w:highlight w:val="none"/>
                <w:lang w:val="en-US" w:eastAsia="zh-CN"/>
              </w:rPr>
              <w:t>的</w:t>
            </w:r>
            <w:r>
              <w:rPr>
                <w:rFonts w:hint="default" w:ascii="Times New Roman" w:hAnsi="Times New Roman" w:cs="Times New Roman"/>
                <w:b w:val="0"/>
                <w:bCs w:val="0"/>
                <w:color w:val="000000"/>
                <w:kern w:val="0"/>
                <w:sz w:val="24"/>
                <w:szCs w:val="20"/>
                <w:highlight w:val="none"/>
                <w:lang w:val="en-US" w:eastAsia="zh-CN"/>
              </w:rPr>
              <w:t>设备</w:t>
            </w:r>
            <w:r>
              <w:rPr>
                <w:rFonts w:hint="eastAsia" w:ascii="Times New Roman" w:hAnsi="Times New Roman" w:cs="Times New Roman"/>
                <w:b w:val="0"/>
                <w:bCs w:val="0"/>
                <w:color w:val="000000"/>
                <w:kern w:val="0"/>
                <w:sz w:val="24"/>
                <w:szCs w:val="20"/>
                <w:highlight w:val="none"/>
                <w:lang w:val="en-US" w:eastAsia="zh-CN"/>
              </w:rPr>
              <w:t>。</w:t>
            </w:r>
            <w:r>
              <w:rPr>
                <w:rFonts w:hint="default" w:ascii="Times New Roman" w:hAnsi="Times New Roman" w:cs="Times New Roman"/>
                <w:b w:val="0"/>
                <w:bCs w:val="0"/>
                <w:color w:val="000000"/>
                <w:kern w:val="0"/>
                <w:sz w:val="24"/>
                <w:szCs w:val="20"/>
                <w:highlight w:val="none"/>
                <w:lang w:val="en-US" w:eastAsia="zh-CN"/>
              </w:rPr>
              <w:t>本项目所在地为蓬壶工业园，属于3类声环境功能区，故执行《工业企业厂界环境噪声排放标准》（</w:t>
            </w:r>
            <w:r>
              <w:rPr>
                <w:rFonts w:hint="eastAsia" w:ascii="Times New Roman" w:hAnsi="Times New Roman" w:cs="Times New Roman"/>
                <w:b w:val="0"/>
                <w:bCs w:val="0"/>
                <w:color w:val="000000"/>
                <w:kern w:val="0"/>
                <w:sz w:val="24"/>
                <w:szCs w:val="20"/>
                <w:highlight w:val="none"/>
                <w:lang w:val="en-US" w:eastAsia="zh-CN"/>
              </w:rPr>
              <w:t>GB 12348-2008</w:t>
            </w:r>
            <w:r>
              <w:rPr>
                <w:rFonts w:hint="default" w:ascii="Times New Roman" w:hAnsi="Times New Roman" w:cs="Times New Roman"/>
                <w:b w:val="0"/>
                <w:bCs w:val="0"/>
                <w:color w:val="000000"/>
                <w:kern w:val="0"/>
                <w:sz w:val="24"/>
                <w:szCs w:val="20"/>
                <w:highlight w:val="none"/>
                <w:lang w:val="en-US" w:eastAsia="zh-CN"/>
              </w:rPr>
              <w:t>）3类标准，厂界噪声排放标准见下表3</w:t>
            </w:r>
            <w:r>
              <w:rPr>
                <w:rFonts w:hint="eastAsia" w:ascii="Times New Roman" w:hAnsi="Times New Roman" w:cs="Times New Roman"/>
                <w:b w:val="0"/>
                <w:bCs w:val="0"/>
                <w:color w:val="000000"/>
                <w:kern w:val="0"/>
                <w:sz w:val="24"/>
                <w:szCs w:val="20"/>
                <w:highlight w:val="none"/>
                <w:lang w:val="en-US" w:eastAsia="zh-CN"/>
              </w:rPr>
              <w:t>.9-5</w:t>
            </w:r>
            <w:r>
              <w:rPr>
                <w:rFonts w:hint="default" w:ascii="Times New Roman" w:hAnsi="Times New Roman" w:cs="Times New Roman"/>
                <w:b w:val="0"/>
                <w:bCs w:val="0"/>
                <w:color w:val="000000"/>
                <w:kern w:val="0"/>
                <w:sz w:val="24"/>
                <w:szCs w:val="20"/>
                <w:highlight w:val="none"/>
                <w:lang w:val="en-US" w:eastAsia="zh-CN"/>
              </w:rPr>
              <w:t>。</w:t>
            </w:r>
          </w:p>
          <w:p w14:paraId="0DBFC2EA">
            <w:pPr>
              <w:spacing w:line="360" w:lineRule="auto"/>
              <w:ind w:firstLine="480" w:firstLineChars="20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表3</w:t>
            </w:r>
            <w:r>
              <w:rPr>
                <w:rFonts w:hint="eastAsia" w:ascii="Times New Roman" w:hAnsi="Times New Roman" w:eastAsia="宋体" w:cs="Times New Roman"/>
                <w:b/>
                <w:color w:val="auto"/>
                <w:sz w:val="24"/>
                <w:highlight w:val="none"/>
                <w:lang w:val="en-US" w:eastAsia="zh-CN"/>
              </w:rPr>
              <w:t xml:space="preserve">.9-5 </w:t>
            </w:r>
            <w:r>
              <w:rPr>
                <w:rFonts w:hint="default" w:ascii="Times New Roman" w:hAnsi="Times New Roman" w:cs="Times New Roman"/>
                <w:b/>
                <w:color w:val="auto"/>
                <w:sz w:val="24"/>
                <w:highlight w:val="none"/>
              </w:rPr>
              <w:t>厂界噪声排放标准</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3747"/>
              <w:gridCol w:w="1236"/>
              <w:gridCol w:w="2082"/>
            </w:tblGrid>
            <w:tr w14:paraId="2D2A9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7" w:type="pct"/>
                  <w:noWrap w:val="0"/>
                  <w:vAlign w:val="center"/>
                </w:tcPr>
                <w:p w14:paraId="06588D47">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类别</w:t>
                  </w:r>
                </w:p>
              </w:tc>
              <w:tc>
                <w:tcPr>
                  <w:tcW w:w="2292" w:type="pct"/>
                  <w:noWrap w:val="0"/>
                  <w:vAlign w:val="center"/>
                </w:tcPr>
                <w:p w14:paraId="59994384">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标准名称</w:t>
                  </w:r>
                </w:p>
              </w:tc>
              <w:tc>
                <w:tcPr>
                  <w:tcW w:w="756" w:type="pct"/>
                  <w:noWrap w:val="0"/>
                  <w:vAlign w:val="center"/>
                </w:tcPr>
                <w:p w14:paraId="159A0981">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项目</w:t>
                  </w:r>
                </w:p>
              </w:tc>
              <w:tc>
                <w:tcPr>
                  <w:tcW w:w="1273" w:type="pct"/>
                  <w:noWrap w:val="0"/>
                  <w:vAlign w:val="center"/>
                </w:tcPr>
                <w:p w14:paraId="3CAE91B0">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标准限值</w:t>
                  </w:r>
                </w:p>
              </w:tc>
            </w:tr>
            <w:tr w14:paraId="641EF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77" w:type="pct"/>
                  <w:vMerge w:val="restart"/>
                  <w:noWrap w:val="0"/>
                  <w:vAlign w:val="center"/>
                </w:tcPr>
                <w:p w14:paraId="660164F5">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3类</w:t>
                  </w:r>
                </w:p>
              </w:tc>
              <w:tc>
                <w:tcPr>
                  <w:tcW w:w="2292" w:type="pct"/>
                  <w:vMerge w:val="restart"/>
                  <w:noWrap w:val="0"/>
                  <w:vAlign w:val="center"/>
                </w:tcPr>
                <w:p w14:paraId="4BBC0A10">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《工业企业厂界环境噪声排放标准》（</w:t>
                  </w:r>
                  <w:r>
                    <w:rPr>
                      <w:rFonts w:hint="eastAsia" w:ascii="Times New Roman" w:hAnsi="Times New Roman" w:eastAsia="宋体" w:cs="Times New Roman"/>
                      <w:color w:val="auto"/>
                      <w:szCs w:val="21"/>
                      <w:highlight w:val="none"/>
                      <w:lang w:eastAsia="zh-CN"/>
                    </w:rPr>
                    <w:t>GB 12348-2008</w:t>
                  </w:r>
                  <w:r>
                    <w:rPr>
                      <w:rFonts w:hint="default" w:ascii="Times New Roman" w:hAnsi="Times New Roman" w:cs="Times New Roman"/>
                      <w:color w:val="auto"/>
                      <w:szCs w:val="21"/>
                      <w:highlight w:val="none"/>
                    </w:rPr>
                    <w:t>）</w:t>
                  </w:r>
                </w:p>
              </w:tc>
              <w:tc>
                <w:tcPr>
                  <w:tcW w:w="756" w:type="pct"/>
                  <w:noWrap w:val="0"/>
                  <w:vAlign w:val="center"/>
                </w:tcPr>
                <w:p w14:paraId="2AF54615">
                  <w:pPr>
                    <w:spacing w:line="340" w:lineRule="exact"/>
                    <w:jc w:val="center"/>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昼间</w:t>
                  </w:r>
                </w:p>
              </w:tc>
              <w:tc>
                <w:tcPr>
                  <w:tcW w:w="1273" w:type="pct"/>
                  <w:noWrap w:val="0"/>
                  <w:vAlign w:val="center"/>
                </w:tcPr>
                <w:p w14:paraId="3240AA45">
                  <w:pPr>
                    <w:spacing w:line="340" w:lineRule="exact"/>
                    <w:jc w:val="center"/>
                    <w:rPr>
                      <w:rFonts w:hint="eastAsia" w:ascii="Times New Roman" w:hAnsi="Times New Roman" w:eastAsia="宋体" w:cs="Times New Roman"/>
                      <w:b/>
                      <w:color w:val="auto"/>
                      <w:szCs w:val="21"/>
                      <w:highlight w:val="none"/>
                      <w:lang w:eastAsia="zh-CN"/>
                    </w:rPr>
                  </w:pPr>
                  <w:r>
                    <w:rPr>
                      <w:rFonts w:hint="default" w:ascii="Times New Roman" w:hAnsi="Times New Roman" w:cs="Times New Roman"/>
                      <w:color w:val="auto"/>
                      <w:szCs w:val="21"/>
                      <w:highlight w:val="none"/>
                    </w:rPr>
                    <w:t>65dB</w:t>
                  </w: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Cs w:val="21"/>
                      <w:highlight w:val="none"/>
                    </w:rPr>
                    <w:t>A</w:t>
                  </w:r>
                  <w:r>
                    <w:rPr>
                      <w:rFonts w:hint="eastAsia" w:ascii="Times New Roman" w:hAnsi="Times New Roman" w:eastAsia="宋体" w:cs="Times New Roman"/>
                      <w:color w:val="auto"/>
                      <w:szCs w:val="21"/>
                      <w:highlight w:val="none"/>
                      <w:lang w:eastAsia="zh-CN"/>
                    </w:rPr>
                    <w:t>)</w:t>
                  </w:r>
                </w:p>
              </w:tc>
            </w:tr>
            <w:tr w14:paraId="39C24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77" w:type="pct"/>
                  <w:vMerge w:val="continue"/>
                  <w:noWrap w:val="0"/>
                  <w:vAlign w:val="center"/>
                </w:tcPr>
                <w:p w14:paraId="15B46CBE">
                  <w:pPr>
                    <w:spacing w:line="340" w:lineRule="exact"/>
                    <w:jc w:val="center"/>
                    <w:rPr>
                      <w:rFonts w:hint="default" w:ascii="Times New Roman" w:hAnsi="Times New Roman" w:cs="Times New Roman"/>
                      <w:b/>
                      <w:color w:val="000000"/>
                      <w:szCs w:val="21"/>
                      <w:highlight w:val="none"/>
                    </w:rPr>
                  </w:pPr>
                </w:p>
              </w:tc>
              <w:tc>
                <w:tcPr>
                  <w:tcW w:w="2292" w:type="pct"/>
                  <w:vMerge w:val="continue"/>
                  <w:noWrap w:val="0"/>
                  <w:vAlign w:val="center"/>
                </w:tcPr>
                <w:p w14:paraId="423B7EA5">
                  <w:pPr>
                    <w:spacing w:line="340" w:lineRule="exact"/>
                    <w:jc w:val="center"/>
                    <w:rPr>
                      <w:rFonts w:hint="default" w:ascii="Times New Roman" w:hAnsi="Times New Roman" w:cs="Times New Roman"/>
                      <w:b/>
                      <w:color w:val="000000"/>
                      <w:szCs w:val="21"/>
                      <w:highlight w:val="none"/>
                    </w:rPr>
                  </w:pPr>
                </w:p>
              </w:tc>
              <w:tc>
                <w:tcPr>
                  <w:tcW w:w="756" w:type="pct"/>
                  <w:noWrap w:val="0"/>
                  <w:vAlign w:val="center"/>
                </w:tcPr>
                <w:p w14:paraId="02AB3F8E">
                  <w:pPr>
                    <w:spacing w:line="340" w:lineRule="exact"/>
                    <w:jc w:val="center"/>
                    <w:rPr>
                      <w:rFonts w:hint="default" w:ascii="Times New Roman" w:hAnsi="Times New Roman" w:cs="Times New Roman"/>
                      <w:b/>
                      <w:color w:val="000000"/>
                      <w:szCs w:val="21"/>
                      <w:highlight w:val="none"/>
                    </w:rPr>
                  </w:pPr>
                  <w:r>
                    <w:rPr>
                      <w:rFonts w:hint="default" w:ascii="Times New Roman" w:hAnsi="Times New Roman" w:cs="Times New Roman"/>
                      <w:color w:val="000000"/>
                      <w:szCs w:val="21"/>
                      <w:highlight w:val="none"/>
                    </w:rPr>
                    <w:t>夜间</w:t>
                  </w:r>
                </w:p>
              </w:tc>
              <w:tc>
                <w:tcPr>
                  <w:tcW w:w="1273" w:type="pct"/>
                  <w:noWrap w:val="0"/>
                  <w:vAlign w:val="center"/>
                </w:tcPr>
                <w:p w14:paraId="037DC65F">
                  <w:pPr>
                    <w:spacing w:line="340" w:lineRule="exact"/>
                    <w:jc w:val="center"/>
                    <w:rPr>
                      <w:rFonts w:hint="eastAsia" w:ascii="Times New Roman" w:hAnsi="Times New Roman" w:eastAsia="宋体" w:cs="Times New Roman"/>
                      <w:b/>
                      <w:color w:val="000000"/>
                      <w:szCs w:val="21"/>
                      <w:highlight w:val="none"/>
                      <w:lang w:eastAsia="zh-CN"/>
                    </w:rPr>
                  </w:pPr>
                  <w:r>
                    <w:rPr>
                      <w:rFonts w:hint="default" w:ascii="Times New Roman" w:hAnsi="Times New Roman" w:cs="Times New Roman"/>
                      <w:color w:val="000000"/>
                      <w:szCs w:val="21"/>
                      <w:highlight w:val="none"/>
                    </w:rPr>
                    <w:t>55dB</w:t>
                  </w:r>
                  <w:r>
                    <w:rPr>
                      <w:rFonts w:hint="eastAsia" w:ascii="Times New Roman" w:hAnsi="Times New Roman" w:eastAsia="宋体" w:cs="Times New Roman"/>
                      <w:color w:val="000000"/>
                      <w:szCs w:val="21"/>
                      <w:highlight w:val="none"/>
                      <w:lang w:eastAsia="zh-CN"/>
                    </w:rPr>
                    <w:t>(</w:t>
                  </w:r>
                  <w:r>
                    <w:rPr>
                      <w:rFonts w:hint="default" w:ascii="Times New Roman" w:hAnsi="Times New Roman" w:cs="Times New Roman"/>
                      <w:color w:val="000000"/>
                      <w:szCs w:val="21"/>
                      <w:highlight w:val="none"/>
                    </w:rPr>
                    <w:t>A</w:t>
                  </w:r>
                  <w:r>
                    <w:rPr>
                      <w:rFonts w:hint="eastAsia" w:ascii="Times New Roman" w:hAnsi="Times New Roman" w:eastAsia="宋体" w:cs="Times New Roman"/>
                      <w:color w:val="000000"/>
                      <w:szCs w:val="21"/>
                      <w:highlight w:val="none"/>
                      <w:lang w:eastAsia="zh-CN"/>
                    </w:rPr>
                    <w:t>)</w:t>
                  </w:r>
                </w:p>
              </w:tc>
            </w:tr>
          </w:tbl>
          <w:p w14:paraId="4902BB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kern w:val="0"/>
                <w:sz w:val="24"/>
                <w:szCs w:val="20"/>
                <w:highlight w:val="none"/>
                <w:lang w:val="en-US" w:eastAsia="zh-CN"/>
              </w:rPr>
            </w:pPr>
            <w:r>
              <w:rPr>
                <w:rFonts w:hint="default" w:ascii="Times New Roman" w:hAnsi="Times New Roman" w:cs="Times New Roman"/>
                <w:b/>
                <w:bCs/>
                <w:color w:val="000000"/>
                <w:kern w:val="0"/>
                <w:sz w:val="24"/>
                <w:szCs w:val="20"/>
                <w:highlight w:val="none"/>
                <w:lang w:val="en-US" w:eastAsia="zh-CN"/>
              </w:rPr>
              <w:t>3.9.4 固体废物</w:t>
            </w:r>
          </w:p>
          <w:p w14:paraId="0D4CBF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0"/>
                <w:highlight w:val="none"/>
                <w:lang w:val="en-US" w:eastAsia="zh-CN"/>
              </w:rPr>
            </w:pPr>
            <w:r>
              <w:rPr>
                <w:rFonts w:hint="default" w:ascii="Times New Roman" w:hAnsi="Times New Roman" w:eastAsia="宋体" w:cs="Times New Roman"/>
                <w:b w:val="0"/>
                <w:bCs w:val="0"/>
                <w:color w:val="000000"/>
                <w:kern w:val="0"/>
                <w:sz w:val="24"/>
                <w:szCs w:val="20"/>
                <w:highlight w:val="none"/>
                <w:lang w:val="en-US" w:eastAsia="zh-CN"/>
              </w:rPr>
              <w:t>（1）一般工业固体废物贮存、处置参照《一般工业固体废物贮存和填埋污染控制标准》（</w:t>
            </w:r>
            <w:r>
              <w:rPr>
                <w:rFonts w:hint="eastAsia" w:ascii="Times New Roman" w:hAnsi="Times New Roman" w:eastAsia="宋体" w:cs="Times New Roman"/>
                <w:b w:val="0"/>
                <w:bCs w:val="0"/>
                <w:color w:val="000000"/>
                <w:kern w:val="0"/>
                <w:sz w:val="24"/>
                <w:szCs w:val="20"/>
                <w:highlight w:val="none"/>
                <w:lang w:val="en-US" w:eastAsia="zh-CN"/>
              </w:rPr>
              <w:t>GB 18599-2020</w:t>
            </w:r>
            <w:r>
              <w:rPr>
                <w:rFonts w:hint="default" w:ascii="Times New Roman" w:hAnsi="Times New Roman" w:eastAsia="宋体" w:cs="Times New Roman"/>
                <w:b w:val="0"/>
                <w:bCs w:val="0"/>
                <w:color w:val="000000"/>
                <w:kern w:val="0"/>
                <w:sz w:val="24"/>
                <w:szCs w:val="20"/>
                <w:highlight w:val="none"/>
                <w:lang w:val="en-US" w:eastAsia="zh-CN"/>
              </w:rPr>
              <w:t>）设置。</w:t>
            </w:r>
          </w:p>
          <w:p w14:paraId="5886D5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kern w:val="0"/>
                <w:sz w:val="24"/>
                <w:szCs w:val="20"/>
                <w:highlight w:val="none"/>
                <w:lang w:val="en-US" w:eastAsia="zh-CN"/>
              </w:rPr>
            </w:pPr>
            <w:r>
              <w:rPr>
                <w:rFonts w:hint="default" w:ascii="Times New Roman" w:hAnsi="Times New Roman" w:eastAsia="宋体" w:cs="Times New Roman"/>
                <w:b w:val="0"/>
                <w:bCs w:val="0"/>
                <w:color w:val="000000"/>
                <w:kern w:val="0"/>
                <w:sz w:val="24"/>
                <w:szCs w:val="20"/>
                <w:highlight w:val="none"/>
                <w:lang w:val="en-US" w:eastAsia="zh-CN"/>
              </w:rPr>
              <w:t>（2）危险废物暂存处参照《危险废物贮存污染控制标准》（</w:t>
            </w:r>
            <w:r>
              <w:rPr>
                <w:rFonts w:hint="eastAsia" w:ascii="Times New Roman" w:hAnsi="Times New Roman" w:eastAsia="宋体" w:cs="Times New Roman"/>
                <w:b w:val="0"/>
                <w:bCs w:val="0"/>
                <w:color w:val="000000"/>
                <w:kern w:val="0"/>
                <w:sz w:val="24"/>
                <w:szCs w:val="20"/>
                <w:highlight w:val="none"/>
                <w:lang w:val="en-US" w:eastAsia="zh-CN"/>
              </w:rPr>
              <w:t>GB 18597-2023</w:t>
            </w:r>
            <w:r>
              <w:rPr>
                <w:rFonts w:hint="default" w:ascii="Times New Roman" w:hAnsi="Times New Roman" w:eastAsia="宋体" w:cs="Times New Roman"/>
                <w:b w:val="0"/>
                <w:bCs w:val="0"/>
                <w:color w:val="000000"/>
                <w:kern w:val="0"/>
                <w:sz w:val="24"/>
                <w:szCs w:val="20"/>
                <w:highlight w:val="none"/>
                <w:lang w:val="en-US" w:eastAsia="zh-CN"/>
              </w:rPr>
              <w:t>）中相关要求设置。</w:t>
            </w:r>
          </w:p>
          <w:p w14:paraId="4ACAA0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color w:val="000000"/>
                <w:kern w:val="0"/>
                <w:sz w:val="24"/>
                <w:szCs w:val="20"/>
                <w:highlight w:val="none"/>
                <w:lang w:val="en-US" w:eastAsia="zh-CN"/>
              </w:rPr>
              <w:t>（3）生活垃圾处置执行《中华人民共和国固体废物污染环境防治法》</w:t>
            </w:r>
            <w:r>
              <w:rPr>
                <w:rFonts w:hint="eastAsia" w:ascii="Times New Roman" w:hAnsi="Times New Roman" w:eastAsia="宋体" w:cs="Times New Roman"/>
                <w:b w:val="0"/>
                <w:bCs w:val="0"/>
                <w:color w:val="000000"/>
                <w:kern w:val="0"/>
                <w:sz w:val="24"/>
                <w:szCs w:val="20"/>
                <w:highlight w:val="none"/>
                <w:lang w:val="en-US" w:eastAsia="zh-CN"/>
              </w:rPr>
              <w:t>（</w:t>
            </w:r>
            <w:r>
              <w:rPr>
                <w:rFonts w:hint="default" w:ascii="Times New Roman" w:hAnsi="Times New Roman" w:eastAsia="宋体" w:cs="Times New Roman"/>
                <w:b w:val="0"/>
                <w:bCs w:val="0"/>
                <w:color w:val="000000"/>
                <w:kern w:val="0"/>
                <w:sz w:val="24"/>
                <w:szCs w:val="20"/>
                <w:highlight w:val="none"/>
                <w:lang w:val="en-US" w:eastAsia="zh-CN"/>
              </w:rPr>
              <w:t>2020年4月29日修订）</w:t>
            </w:r>
            <w:r>
              <w:rPr>
                <w:rFonts w:hint="eastAsia" w:ascii="Times New Roman" w:hAnsi="Times New Roman" w:eastAsia="宋体" w:cs="Times New Roman"/>
                <w:b w:val="0"/>
                <w:bCs w:val="0"/>
                <w:color w:val="000000"/>
                <w:kern w:val="0"/>
                <w:sz w:val="24"/>
                <w:szCs w:val="20"/>
                <w:highlight w:val="none"/>
                <w:lang w:val="en-US" w:eastAsia="zh-CN"/>
              </w:rPr>
              <w:t>“</w:t>
            </w:r>
            <w:r>
              <w:rPr>
                <w:rFonts w:hint="default" w:ascii="Times New Roman" w:hAnsi="Times New Roman" w:eastAsia="宋体" w:cs="Times New Roman"/>
                <w:b w:val="0"/>
                <w:bCs w:val="0"/>
                <w:color w:val="000000"/>
                <w:kern w:val="0"/>
                <w:sz w:val="24"/>
                <w:szCs w:val="20"/>
                <w:highlight w:val="none"/>
                <w:lang w:val="en-US" w:eastAsia="zh-CN"/>
              </w:rPr>
              <w:t>第四章生活垃圾</w:t>
            </w:r>
            <w:r>
              <w:rPr>
                <w:rFonts w:hint="eastAsia" w:ascii="Times New Roman" w:hAnsi="Times New Roman" w:eastAsia="宋体" w:cs="Times New Roman"/>
                <w:b w:val="0"/>
                <w:bCs w:val="0"/>
                <w:color w:val="000000"/>
                <w:kern w:val="0"/>
                <w:sz w:val="24"/>
                <w:szCs w:val="20"/>
                <w:highlight w:val="none"/>
                <w:lang w:val="en-US" w:eastAsia="zh-CN"/>
              </w:rPr>
              <w:t>”</w:t>
            </w:r>
            <w:r>
              <w:rPr>
                <w:rFonts w:hint="default" w:ascii="Times New Roman" w:hAnsi="Times New Roman" w:eastAsia="宋体" w:cs="Times New Roman"/>
                <w:b w:val="0"/>
                <w:bCs w:val="0"/>
                <w:color w:val="000000"/>
                <w:kern w:val="0"/>
                <w:sz w:val="24"/>
                <w:szCs w:val="20"/>
                <w:highlight w:val="none"/>
                <w:lang w:val="en-US" w:eastAsia="zh-CN"/>
              </w:rPr>
              <w:t>的相关规定。</w:t>
            </w:r>
          </w:p>
        </w:tc>
      </w:tr>
      <w:tr w14:paraId="02CAE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08" w:type="dxa"/>
            <w:tcBorders>
              <w:left w:val="single" w:color="000000" w:sz="6" w:space="0"/>
            </w:tcBorders>
            <w:vAlign w:val="center"/>
          </w:tcPr>
          <w:p w14:paraId="4DCB284D">
            <w:pPr>
              <w:spacing w:before="65" w:line="272" w:lineRule="exact"/>
              <w:ind w:left="196"/>
              <w:rPr>
                <w:rFonts w:ascii="宋体" w:hAnsi="宋体" w:eastAsia="宋体" w:cs="宋体"/>
                <w:sz w:val="20"/>
                <w:szCs w:val="20"/>
                <w:highlight w:val="none"/>
              </w:rPr>
            </w:pPr>
            <w:r>
              <w:rPr>
                <w:rFonts w:ascii="宋体" w:hAnsi="宋体" w:eastAsia="宋体" w:cs="宋体"/>
                <w:spacing w:val="4"/>
                <w:position w:val="4"/>
                <w:sz w:val="20"/>
                <w:szCs w:val="20"/>
                <w:highlight w:val="none"/>
              </w:rPr>
              <w:t>总</w:t>
            </w:r>
            <w:r>
              <w:rPr>
                <w:rFonts w:ascii="宋体" w:hAnsi="宋体" w:eastAsia="宋体" w:cs="宋体"/>
                <w:spacing w:val="3"/>
                <w:position w:val="4"/>
                <w:sz w:val="20"/>
                <w:szCs w:val="20"/>
                <w:highlight w:val="none"/>
              </w:rPr>
              <w:t>量</w:t>
            </w:r>
            <w:r>
              <w:rPr>
                <w:rFonts w:ascii="宋体" w:hAnsi="宋体" w:eastAsia="宋体" w:cs="宋体"/>
                <w:spacing w:val="5"/>
                <w:sz w:val="20"/>
                <w:szCs w:val="20"/>
                <w:highlight w:val="none"/>
              </w:rPr>
              <w:t>控制</w:t>
            </w:r>
            <w:r>
              <w:rPr>
                <w:rFonts w:ascii="宋体" w:hAnsi="宋体" w:eastAsia="宋体" w:cs="宋体"/>
                <w:spacing w:val="4"/>
                <w:sz w:val="20"/>
                <w:szCs w:val="20"/>
                <w:highlight w:val="none"/>
              </w:rPr>
              <w:t>指</w:t>
            </w:r>
            <w:r>
              <w:rPr>
                <w:rFonts w:ascii="宋体" w:hAnsi="宋体" w:eastAsia="宋体" w:cs="宋体"/>
                <w:spacing w:val="3"/>
                <w:sz w:val="20"/>
                <w:szCs w:val="20"/>
                <w:highlight w:val="none"/>
              </w:rPr>
              <w:t>标</w:t>
            </w:r>
          </w:p>
        </w:tc>
        <w:tc>
          <w:tcPr>
            <w:tcW w:w="8186" w:type="dxa"/>
            <w:tcBorders>
              <w:right w:val="single" w:color="000000" w:sz="6" w:space="0"/>
            </w:tcBorders>
            <w:vAlign w:val="top"/>
          </w:tcPr>
          <w:p w14:paraId="4F2CEED5">
            <w:pPr>
              <w:rPr>
                <w:rFonts w:hint="default" w:ascii="Times New Roman" w:hAnsi="Times New Roman" w:eastAsia="宋体" w:cs="Times New Roman"/>
                <w:b/>
                <w:bCs/>
                <w:color w:val="000000"/>
                <w:kern w:val="0"/>
                <w:sz w:val="28"/>
                <w:szCs w:val="21"/>
                <w:highlight w:val="none"/>
                <w:lang w:val="en-US" w:eastAsia="zh-CN"/>
              </w:rPr>
            </w:pPr>
            <w:r>
              <w:rPr>
                <w:rFonts w:hint="default" w:ascii="Times New Roman" w:hAnsi="Times New Roman" w:eastAsia="宋体" w:cs="Times New Roman"/>
                <w:b/>
                <w:bCs/>
                <w:color w:val="000000"/>
                <w:kern w:val="0"/>
                <w:sz w:val="28"/>
                <w:szCs w:val="21"/>
                <w:highlight w:val="none"/>
                <w:lang w:val="en-US" w:eastAsia="zh-CN"/>
              </w:rPr>
              <w:t>3.10 总量控制</w:t>
            </w:r>
          </w:p>
          <w:p w14:paraId="670ED9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总量控制是我国环境保护管理工作的一项重要举措，实行污染物排放总量</w:t>
            </w:r>
            <w:r>
              <w:rPr>
                <w:rFonts w:hint="eastAsia" w:ascii="Times New Roman" w:hAnsi="Times New Roman" w:eastAsia="宋体" w:cs="Times New Roman"/>
                <w:sz w:val="24"/>
                <w:szCs w:val="24"/>
                <w:highlight w:val="none"/>
                <w:lang w:val="en-US" w:eastAsia="zh-CN"/>
              </w:rPr>
              <w:t>控制</w:t>
            </w:r>
            <w:r>
              <w:rPr>
                <w:rFonts w:hint="default" w:ascii="Times New Roman" w:hAnsi="Times New Roman" w:cs="Times New Roman"/>
                <w:sz w:val="24"/>
                <w:szCs w:val="24"/>
                <w:highlight w:val="none"/>
              </w:rPr>
              <w:t>是环境保护法律法规的要求，它不仅是促进经济结构战略性调整和经济增长方式根本性转变的有力措施，同时也</w:t>
            </w:r>
            <w:r>
              <w:rPr>
                <w:rFonts w:hint="eastAsia" w:ascii="Times New Roman" w:hAnsi="Times New Roman" w:eastAsia="宋体" w:cs="Times New Roman"/>
                <w:sz w:val="24"/>
                <w:szCs w:val="24"/>
                <w:highlight w:val="none"/>
                <w:lang w:val="en-US" w:eastAsia="zh-CN"/>
              </w:rPr>
              <w:t>能够</w:t>
            </w:r>
            <w:r>
              <w:rPr>
                <w:rFonts w:hint="default" w:ascii="Times New Roman" w:hAnsi="Times New Roman" w:cs="Times New Roman"/>
                <w:sz w:val="24"/>
                <w:szCs w:val="24"/>
                <w:highlight w:val="none"/>
              </w:rPr>
              <w:t>促进工业技术进步和管理水平的提高，做到环保与经济的相互促进。实施以环境容量为基础的排污总量控制制度是改善环境质量的根本手段。</w:t>
            </w:r>
          </w:p>
          <w:p w14:paraId="692081CF">
            <w:pPr>
              <w:rPr>
                <w:rFonts w:hint="eastAsia" w:ascii="宋体" w:hAnsi="宋体" w:eastAsia="宋体" w:cs="宋体"/>
                <w:b w:val="0"/>
                <w:bCs w:val="0"/>
                <w:color w:val="000000"/>
                <w:kern w:val="0"/>
                <w:sz w:val="24"/>
                <w:szCs w:val="20"/>
                <w:highlight w:val="none"/>
                <w:lang w:val="en-US" w:eastAsia="zh-CN"/>
              </w:rPr>
            </w:pPr>
            <w:r>
              <w:rPr>
                <w:rFonts w:hint="default" w:ascii="Times New Roman" w:hAnsi="Times New Roman" w:cs="Times New Roman"/>
                <w:b/>
                <w:bCs/>
                <w:color w:val="000000"/>
                <w:kern w:val="0"/>
                <w:sz w:val="24"/>
                <w:szCs w:val="20"/>
                <w:highlight w:val="none"/>
                <w:lang w:val="en-US" w:eastAsia="zh-CN"/>
              </w:rPr>
              <w:t xml:space="preserve">3.10.1 </w:t>
            </w:r>
            <w:r>
              <w:rPr>
                <w:rFonts w:hint="eastAsia" w:ascii="Times New Roman" w:hAnsi="Times New Roman" w:cs="Times New Roman"/>
                <w:b/>
                <w:bCs/>
                <w:color w:val="000000"/>
                <w:kern w:val="0"/>
                <w:sz w:val="24"/>
                <w:szCs w:val="20"/>
                <w:highlight w:val="none"/>
                <w:lang w:val="en-US" w:eastAsia="zh-CN"/>
              </w:rPr>
              <w:t>水污染物排放总量</w:t>
            </w:r>
            <w:r>
              <w:rPr>
                <w:rFonts w:hint="default" w:ascii="Times New Roman" w:hAnsi="Times New Roman" w:cs="Times New Roman"/>
                <w:b/>
                <w:bCs/>
                <w:color w:val="000000"/>
                <w:kern w:val="0"/>
                <w:sz w:val="24"/>
                <w:szCs w:val="20"/>
                <w:highlight w:val="none"/>
                <w:lang w:val="en-US" w:eastAsia="zh-CN"/>
              </w:rPr>
              <w:t>控制指标</w:t>
            </w:r>
          </w:p>
          <w:p w14:paraId="0DC992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rPr>
              <w:t>根据《福建省人民政府关于全面实施排污权有偿使用和交易工作的意见》（闽政〔2016〕54 号）、《泉州市环保局关于全面实施排污权有偿使用和交易后做好建设项目总量指标管理工作有关意见的通知》（泉环保总量〔2017〕1 号）等有关文件要求，全省范围内工业排污单位、工业集中区集中供热和废气、废水集中治理单位均进行排污权有偿使用和交易</w:t>
            </w:r>
            <w:r>
              <w:rPr>
                <w:rFonts w:hint="eastAsia"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rPr>
              <w:t>现阶段</w:t>
            </w:r>
            <w:r>
              <w:rPr>
                <w:rFonts w:hint="eastAsia" w:ascii="Times New Roman" w:hAnsi="Times New Roman" w:eastAsia="宋体" w:cs="Times New Roman"/>
                <w:sz w:val="24"/>
                <w:szCs w:val="24"/>
                <w:highlight w:val="none"/>
                <w:lang w:val="en-US" w:eastAsia="zh-CN"/>
              </w:rPr>
              <w:t>废水排放</w:t>
            </w:r>
            <w:r>
              <w:rPr>
                <w:rFonts w:hint="default" w:ascii="Times New Roman" w:hAnsi="Times New Roman" w:cs="Times New Roman"/>
                <w:sz w:val="24"/>
                <w:szCs w:val="24"/>
                <w:highlight w:val="none"/>
              </w:rPr>
              <w:t>实施总量控制的主要污染物包括化学需氧量（</w:t>
            </w:r>
            <w:r>
              <w:rPr>
                <w:rFonts w:hint="eastAsia" w:ascii="Times New Roman" w:hAnsi="Times New Roman" w:eastAsia="宋体" w:cs="Times New Roman"/>
                <w:sz w:val="24"/>
                <w:szCs w:val="24"/>
                <w:highlight w:val="none"/>
                <w:lang w:eastAsia="zh-CN"/>
              </w:rPr>
              <w:t>COD</w:t>
            </w:r>
            <w:r>
              <w:rPr>
                <w:rFonts w:hint="default" w:ascii="Times New Roman" w:hAnsi="Times New Roman" w:cs="Times New Roman"/>
                <w:sz w:val="24"/>
                <w:szCs w:val="24"/>
                <w:highlight w:val="none"/>
              </w:rPr>
              <w:t>）、氨氮（NH</w:t>
            </w:r>
            <w:r>
              <w:rPr>
                <w:rFonts w:hint="default" w:ascii="Times New Roman" w:hAnsi="Times New Roman" w:cs="Times New Roman"/>
                <w:sz w:val="24"/>
                <w:szCs w:val="24"/>
                <w:highlight w:val="none"/>
                <w:vertAlign w:val="subscript"/>
              </w:rPr>
              <w:t>3</w:t>
            </w:r>
            <w:r>
              <w:rPr>
                <w:rFonts w:hint="default" w:ascii="Times New Roman" w:hAnsi="Times New Roman" w:cs="Times New Roman"/>
                <w:sz w:val="24"/>
                <w:szCs w:val="24"/>
                <w:highlight w:val="none"/>
              </w:rPr>
              <w:t>-N）、二氧化硫（SO</w:t>
            </w:r>
            <w:r>
              <w:rPr>
                <w:rFonts w:hint="default" w:ascii="Times New Roman" w:hAnsi="Times New Roman" w:cs="Times New Roman"/>
                <w:sz w:val="24"/>
                <w:szCs w:val="24"/>
                <w:highlight w:val="none"/>
                <w:vertAlign w:val="subscript"/>
              </w:rPr>
              <w:t>2</w:t>
            </w:r>
            <w:r>
              <w:rPr>
                <w:rFonts w:hint="default" w:ascii="Times New Roman" w:hAnsi="Times New Roman" w:cs="Times New Roman"/>
                <w:sz w:val="24"/>
                <w:szCs w:val="24"/>
                <w:highlight w:val="none"/>
              </w:rPr>
              <w:t>）、氮氧化物（NOx）</w:t>
            </w:r>
            <w:r>
              <w:rPr>
                <w:rFonts w:hint="default" w:ascii="Times New Roman" w:hAnsi="Times New Roman" w:cs="Times New Roman"/>
                <w:sz w:val="24"/>
                <w:szCs w:val="24"/>
                <w:highlight w:val="none"/>
                <w:lang w:eastAsia="zh-CN"/>
              </w:rPr>
              <w:t>。项目生活污水</w:t>
            </w:r>
            <w:r>
              <w:rPr>
                <w:rFonts w:hint="eastAsia" w:ascii="Times New Roman" w:hAnsi="Times New Roman" w:cs="Times New Roman"/>
                <w:sz w:val="24"/>
                <w:szCs w:val="24"/>
                <w:highlight w:val="none"/>
                <w:lang w:val="en-US" w:eastAsia="zh-CN"/>
              </w:rPr>
              <w:t>依托出租方化粪池</w:t>
            </w:r>
            <w:r>
              <w:rPr>
                <w:rFonts w:hint="default" w:ascii="Times New Roman" w:hAnsi="Times New Roman" w:cs="Times New Roman"/>
                <w:sz w:val="24"/>
                <w:szCs w:val="24"/>
                <w:highlight w:val="none"/>
                <w:lang w:eastAsia="zh-CN"/>
              </w:rPr>
              <w:t>处理后，通过市政污水管网纳入永春县蓬壶镇污水处理厂集中处理。</w:t>
            </w:r>
            <w:r>
              <w:rPr>
                <w:rFonts w:hint="default" w:ascii="Times New Roman" w:hAnsi="Times New Roman" w:cs="Times New Roman"/>
                <w:sz w:val="24"/>
                <w:szCs w:val="24"/>
                <w:highlight w:val="none"/>
                <w:lang w:val="en-US" w:eastAsia="zh-CN"/>
              </w:rPr>
              <w:t>综上所述，</w:t>
            </w:r>
            <w:r>
              <w:rPr>
                <w:rFonts w:hint="default" w:ascii="Times New Roman" w:hAnsi="Times New Roman" w:cs="Times New Roman"/>
                <w:sz w:val="24"/>
                <w:szCs w:val="24"/>
                <w:highlight w:val="none"/>
                <w:lang w:eastAsia="zh-CN"/>
              </w:rPr>
              <w:t>排污权交易的水污染物仅核定工业废水部分，本项目排放废水为生活污水，不排放工业废水，因此其</w:t>
            </w:r>
            <w:r>
              <w:rPr>
                <w:rFonts w:hint="eastAsia" w:ascii="Times New Roman" w:hAnsi="Times New Roman" w:cs="Times New Roman"/>
                <w:sz w:val="24"/>
                <w:szCs w:val="24"/>
                <w:highlight w:val="none"/>
                <w:lang w:eastAsia="zh-CN"/>
              </w:rPr>
              <w:t>COD</w:t>
            </w:r>
            <w:r>
              <w:rPr>
                <w:rFonts w:hint="default" w:ascii="Times New Roman" w:hAnsi="Times New Roman" w:cs="Times New Roman"/>
                <w:sz w:val="24"/>
                <w:szCs w:val="24"/>
                <w:highlight w:val="none"/>
                <w:lang w:eastAsia="zh-CN"/>
              </w:rPr>
              <w:t>、NH</w:t>
            </w:r>
            <w:r>
              <w:rPr>
                <w:rFonts w:hint="default" w:ascii="Times New Roman" w:hAnsi="Times New Roman" w:cs="Times New Roman"/>
                <w:sz w:val="24"/>
                <w:szCs w:val="24"/>
                <w:highlight w:val="none"/>
                <w:vertAlign w:val="subscript"/>
                <w:lang w:eastAsia="zh-CN"/>
              </w:rPr>
              <w:t>3</w:t>
            </w:r>
            <w:r>
              <w:rPr>
                <w:rFonts w:hint="default" w:ascii="Times New Roman" w:hAnsi="Times New Roman" w:cs="Times New Roman"/>
                <w:sz w:val="24"/>
                <w:szCs w:val="24"/>
                <w:highlight w:val="none"/>
                <w:lang w:eastAsia="zh-CN"/>
              </w:rPr>
              <w:t>-N无需申请总量，总量由污水处理厂统一调剂。</w:t>
            </w:r>
          </w:p>
          <w:p w14:paraId="531AA0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b/>
                <w:bCs/>
                <w:color w:val="000000"/>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3.10.2 </w:t>
            </w:r>
            <w:r>
              <w:rPr>
                <w:rFonts w:hint="eastAsia"/>
                <w:b/>
                <w:bCs/>
                <w:color w:val="000000"/>
                <w:sz w:val="24"/>
                <w:szCs w:val="24"/>
                <w:highlight w:val="none"/>
              </w:rPr>
              <w:t>非甲烷总烃总量控制</w:t>
            </w:r>
            <w:r>
              <w:rPr>
                <w:rFonts w:hint="eastAsia" w:eastAsia="宋体"/>
                <w:b/>
                <w:bCs/>
                <w:color w:val="000000"/>
                <w:sz w:val="24"/>
                <w:szCs w:val="24"/>
                <w:highlight w:val="none"/>
                <w:lang w:val="en-US" w:eastAsia="zh-CN"/>
              </w:rPr>
              <w:t>指标</w:t>
            </w:r>
          </w:p>
          <w:p w14:paraId="3226065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根据《福建省人民政府关于实施“三线一单”生态环境分区管控的通知》（闽政﹝2020﹞12 号）中关于涉新增VOCs排放项目的要求，VOCs排放实行区域内等量替代，福州、厦门、漳州、泉州、莆田、宁德等6个重点控制区可实施倍量替代；根据《泉州市生态环境局关于发布泉州市2023年生态环境分区管控动态更新成果的通知》（泉环保〔2024〕64 号）中的附件“泉州市总体准入要求”，项目涉新增VOCs排放，实施区域内VOCs排放1.2倍量削减替代；同时根据《永春县生态环境保护委员会办公室关于实施VOCs排放管控的通知》，项目位于永春辖区，VOCs排放同样按1.2倍量削减替代</w:t>
            </w:r>
            <w:r>
              <w:rPr>
                <w:rFonts w:hint="default" w:ascii="Times New Roman" w:hAnsi="Times New Roman" w:cs="Times New Roman"/>
                <w:sz w:val="24"/>
                <w:szCs w:val="24"/>
                <w:highlight w:val="none"/>
                <w:lang w:val="en-US" w:eastAsia="zh-CN"/>
              </w:rPr>
              <w:t>。项目涉VOCs建设项目排放总量控制情况自查表详见表3</w:t>
            </w:r>
            <w:r>
              <w:rPr>
                <w:rFonts w:hint="eastAsia" w:ascii="Times New Roman" w:hAnsi="Times New Roman" w:cs="Times New Roman"/>
                <w:sz w:val="24"/>
                <w:szCs w:val="24"/>
                <w:highlight w:val="none"/>
                <w:lang w:val="en-US" w:eastAsia="zh-CN"/>
              </w:rPr>
              <w:t>.10-1</w:t>
            </w:r>
            <w:r>
              <w:rPr>
                <w:rFonts w:hint="default" w:ascii="Times New Roman" w:hAnsi="Times New Roman" w:cs="Times New Roman"/>
                <w:sz w:val="24"/>
                <w:szCs w:val="24"/>
                <w:highlight w:val="none"/>
                <w:lang w:val="en-US" w:eastAsia="zh-CN"/>
              </w:rPr>
              <w:t>。</w:t>
            </w:r>
          </w:p>
          <w:p w14:paraId="78C73CF7">
            <w:pPr>
              <w:spacing w:line="360" w:lineRule="auto"/>
              <w:ind w:firstLine="480" w:firstLineChars="200"/>
              <w:jc w:val="center"/>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表3</w:t>
            </w:r>
            <w:r>
              <w:rPr>
                <w:rFonts w:hint="eastAsia" w:ascii="Times New Roman" w:hAnsi="Times New Roman" w:cs="Times New Roman"/>
                <w:b/>
                <w:color w:val="auto"/>
                <w:sz w:val="24"/>
                <w:highlight w:val="none"/>
                <w:lang w:val="en-US" w:eastAsia="zh-CN"/>
              </w:rPr>
              <w:t xml:space="preserve">.10-1 </w:t>
            </w:r>
            <w:r>
              <w:rPr>
                <w:rFonts w:hint="default" w:ascii="Times New Roman" w:hAnsi="Times New Roman" w:cs="Times New Roman"/>
                <w:b/>
                <w:color w:val="auto"/>
                <w:sz w:val="24"/>
                <w:highlight w:val="none"/>
                <w:lang w:val="en-US" w:eastAsia="zh-CN"/>
              </w:rPr>
              <w:t>涉VOCs建设项目排放总量控制情况自查表</w:t>
            </w:r>
          </w:p>
          <w:tbl>
            <w:tblPr>
              <w:tblStyle w:val="17"/>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76"/>
              <w:gridCol w:w="719"/>
              <w:gridCol w:w="647"/>
              <w:gridCol w:w="1266"/>
              <w:gridCol w:w="719"/>
              <w:gridCol w:w="1079"/>
              <w:gridCol w:w="834"/>
              <w:gridCol w:w="719"/>
              <w:gridCol w:w="822"/>
            </w:tblGrid>
            <w:tr w14:paraId="3B777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9" w:type="dxa"/>
                  <w:gridSpan w:val="5"/>
                  <w:vAlign w:val="center"/>
                </w:tcPr>
                <w:p w14:paraId="29D936F9">
                  <w:pPr>
                    <w:pStyle w:val="36"/>
                    <w:adjustRightInd/>
                    <w:snapToGrid/>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项目基本信息</w:t>
                  </w:r>
                </w:p>
              </w:tc>
              <w:tc>
                <w:tcPr>
                  <w:tcW w:w="719" w:type="dxa"/>
                  <w:vMerge w:val="restart"/>
                  <w:vAlign w:val="center"/>
                </w:tcPr>
                <w:p w14:paraId="1A236CFB">
                  <w:pPr>
                    <w:pStyle w:val="36"/>
                    <w:adjustRightInd/>
                    <w:snapToGrid/>
                    <w:ind w:left="0" w:lef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本工程</w:t>
                  </w:r>
                  <w:r>
                    <w:rPr>
                      <w:rFonts w:hint="default" w:ascii="Times New Roman" w:hAnsi="Times New Roman" w:eastAsia="宋体" w:cs="Times New Roman"/>
                      <w:sz w:val="21"/>
                      <w:szCs w:val="21"/>
                      <w:highlight w:val="none"/>
                      <w:lang w:eastAsia="zh-CN"/>
                    </w:rPr>
                    <w:t>VOCs</w:t>
                  </w:r>
                  <w:r>
                    <w:rPr>
                      <w:rFonts w:hint="default" w:ascii="Times New Roman" w:hAnsi="Times New Roman" w:eastAsia="宋体" w:cs="Times New Roman"/>
                      <w:sz w:val="21"/>
                      <w:szCs w:val="21"/>
                      <w:highlight w:val="none"/>
                      <w:lang w:val="en-US" w:eastAsia="zh-CN"/>
                    </w:rPr>
                    <w:t>产生</w:t>
                  </w:r>
                  <w:r>
                    <w:rPr>
                      <w:rFonts w:hint="default" w:ascii="Times New Roman" w:hAnsi="Times New Roman" w:eastAsia="宋体" w:cs="Times New Roman"/>
                      <w:sz w:val="21"/>
                      <w:szCs w:val="21"/>
                      <w:highlight w:val="none"/>
                    </w:rPr>
                    <w:t>量</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t/a</w:t>
                  </w:r>
                  <w:r>
                    <w:rPr>
                      <w:rFonts w:hint="default" w:ascii="Times New Roman" w:hAnsi="Times New Roman" w:eastAsia="宋体" w:cs="Times New Roman"/>
                      <w:sz w:val="21"/>
                      <w:szCs w:val="21"/>
                      <w:highlight w:val="none"/>
                      <w:lang w:eastAsia="zh-CN"/>
                    </w:rPr>
                    <w:t>）</w:t>
                  </w:r>
                </w:p>
              </w:tc>
              <w:tc>
                <w:tcPr>
                  <w:tcW w:w="1079" w:type="dxa"/>
                  <w:vMerge w:val="restart"/>
                  <w:vAlign w:val="center"/>
                </w:tcPr>
                <w:p w14:paraId="5BC0C13C">
                  <w:pPr>
                    <w:pStyle w:val="36"/>
                    <w:adjustRightInd/>
                    <w:snapToGrid/>
                    <w:ind w:left="0" w:lef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本工程</w:t>
                  </w:r>
                  <w:r>
                    <w:rPr>
                      <w:rFonts w:hint="default" w:ascii="Times New Roman" w:hAnsi="Times New Roman" w:eastAsia="宋体" w:cs="Times New Roman"/>
                      <w:sz w:val="21"/>
                      <w:szCs w:val="21"/>
                      <w:highlight w:val="none"/>
                      <w:lang w:eastAsia="zh-CN"/>
                    </w:rPr>
                    <w:t>VOCs</w:t>
                  </w:r>
                  <w:r>
                    <w:rPr>
                      <w:rFonts w:hint="eastAsia" w:ascii="Times New Roman" w:hAnsi="Times New Roman" w:eastAsia="宋体" w:cs="Times New Roman"/>
                      <w:sz w:val="21"/>
                      <w:szCs w:val="21"/>
                      <w:highlight w:val="none"/>
                      <w:lang w:val="en-US" w:eastAsia="zh-CN"/>
                    </w:rPr>
                    <w:t>有组织/无组织</w:t>
                  </w:r>
                  <w:r>
                    <w:rPr>
                      <w:rFonts w:hint="default" w:ascii="Times New Roman" w:hAnsi="Times New Roman" w:eastAsia="宋体" w:cs="Times New Roman"/>
                      <w:sz w:val="21"/>
                      <w:szCs w:val="21"/>
                      <w:highlight w:val="none"/>
                    </w:rPr>
                    <w:t>排放量</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t/a</w:t>
                  </w:r>
                  <w:r>
                    <w:rPr>
                      <w:rFonts w:hint="default" w:ascii="Times New Roman" w:hAnsi="Times New Roman" w:eastAsia="宋体" w:cs="Times New Roman"/>
                      <w:sz w:val="21"/>
                      <w:szCs w:val="21"/>
                      <w:highlight w:val="none"/>
                      <w:lang w:eastAsia="zh-CN"/>
                    </w:rPr>
                    <w:t>）</w:t>
                  </w:r>
                </w:p>
              </w:tc>
              <w:tc>
                <w:tcPr>
                  <w:tcW w:w="834" w:type="dxa"/>
                  <w:vMerge w:val="restart"/>
                  <w:vAlign w:val="center"/>
                </w:tcPr>
                <w:p w14:paraId="032DC387">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w:t>
                  </w:r>
                  <w:r>
                    <w:rPr>
                      <w:rFonts w:hint="default" w:ascii="Times New Roman" w:hAnsi="Times New Roman" w:eastAsia="宋体" w:cs="Times New Roman"/>
                      <w:color w:val="auto"/>
                      <w:sz w:val="21"/>
                      <w:szCs w:val="21"/>
                      <w:highlight w:val="none"/>
                      <w:lang w:eastAsia="zh-CN"/>
                    </w:rPr>
                    <w:t>VOCs</w:t>
                  </w:r>
                  <w:r>
                    <w:rPr>
                      <w:rFonts w:hint="eastAsia" w:ascii="Times New Roman" w:hAnsi="Times New Roman" w:eastAsia="宋体" w:cs="Times New Roman"/>
                      <w:color w:val="auto"/>
                      <w:sz w:val="21"/>
                      <w:szCs w:val="21"/>
                      <w:highlight w:val="none"/>
                      <w:lang w:val="en-US" w:eastAsia="zh-CN"/>
                    </w:rPr>
                    <w:t>总</w:t>
                  </w:r>
                  <w:r>
                    <w:rPr>
                      <w:rFonts w:hint="default" w:ascii="Times New Roman" w:hAnsi="Times New Roman" w:eastAsia="宋体" w:cs="Times New Roman"/>
                      <w:color w:val="auto"/>
                      <w:sz w:val="21"/>
                      <w:szCs w:val="21"/>
                      <w:highlight w:val="none"/>
                    </w:rPr>
                    <w:t>排放量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eastAsia="宋体" w:cs="Times New Roman"/>
                      <w:color w:val="auto"/>
                      <w:sz w:val="21"/>
                      <w:szCs w:val="21"/>
                      <w:highlight w:val="none"/>
                      <w:lang w:eastAsia="zh-CN"/>
                    </w:rPr>
                    <w:t>）</w:t>
                  </w:r>
                </w:p>
              </w:tc>
              <w:tc>
                <w:tcPr>
                  <w:tcW w:w="1541" w:type="dxa"/>
                  <w:gridSpan w:val="2"/>
                  <w:vAlign w:val="center"/>
                </w:tcPr>
                <w:p w14:paraId="5B568A09">
                  <w:pPr>
                    <w:pStyle w:val="36"/>
                    <w:adjustRightInd/>
                    <w:snapToGrid/>
                    <w:ind w:left="0" w:lef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总量控制指标合计</w:t>
                  </w:r>
                </w:p>
              </w:tc>
            </w:tr>
            <w:tr w14:paraId="25323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Align w:val="center"/>
                </w:tcPr>
                <w:p w14:paraId="42201894">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企业名称</w:t>
                  </w:r>
                </w:p>
              </w:tc>
              <w:tc>
                <w:tcPr>
                  <w:tcW w:w="676" w:type="dxa"/>
                  <w:vAlign w:val="center"/>
                </w:tcPr>
                <w:p w14:paraId="4A638114">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地址</w:t>
                  </w:r>
                </w:p>
              </w:tc>
              <w:tc>
                <w:tcPr>
                  <w:tcW w:w="719" w:type="dxa"/>
                  <w:vAlign w:val="center"/>
                </w:tcPr>
                <w:p w14:paraId="6AE5F3E7">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建设项目名称</w:t>
                  </w:r>
                </w:p>
              </w:tc>
              <w:tc>
                <w:tcPr>
                  <w:tcW w:w="647" w:type="dxa"/>
                  <w:vAlign w:val="center"/>
                </w:tcPr>
                <w:p w14:paraId="303B8B24">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环境影响评价类别</w:t>
                  </w:r>
                </w:p>
              </w:tc>
              <w:tc>
                <w:tcPr>
                  <w:tcW w:w="1266" w:type="dxa"/>
                  <w:vAlign w:val="center"/>
                </w:tcPr>
                <w:p w14:paraId="08BCBCEF">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国民经济行业类别</w:t>
                  </w:r>
                </w:p>
              </w:tc>
              <w:tc>
                <w:tcPr>
                  <w:tcW w:w="719" w:type="dxa"/>
                  <w:vMerge w:val="continue"/>
                  <w:vAlign w:val="center"/>
                </w:tcPr>
                <w:p w14:paraId="49089100">
                  <w:pPr>
                    <w:pStyle w:val="36"/>
                    <w:adjustRightInd/>
                    <w:snapToGrid/>
                    <w:jc w:val="center"/>
                    <w:rPr>
                      <w:rFonts w:hint="default" w:ascii="Times New Roman" w:hAnsi="Times New Roman" w:eastAsia="宋体" w:cs="Times New Roman"/>
                      <w:sz w:val="21"/>
                      <w:szCs w:val="21"/>
                      <w:highlight w:val="none"/>
                    </w:rPr>
                  </w:pPr>
                </w:p>
              </w:tc>
              <w:tc>
                <w:tcPr>
                  <w:tcW w:w="1079" w:type="dxa"/>
                  <w:vMerge w:val="continue"/>
                  <w:vAlign w:val="center"/>
                </w:tcPr>
                <w:p w14:paraId="3082D4BB">
                  <w:pPr>
                    <w:pStyle w:val="36"/>
                    <w:adjustRightInd/>
                    <w:snapToGrid/>
                    <w:jc w:val="center"/>
                    <w:rPr>
                      <w:rFonts w:hint="default" w:ascii="Times New Roman" w:hAnsi="Times New Roman" w:eastAsia="宋体" w:cs="Times New Roman"/>
                      <w:sz w:val="21"/>
                      <w:szCs w:val="21"/>
                      <w:highlight w:val="none"/>
                    </w:rPr>
                  </w:pPr>
                </w:p>
              </w:tc>
              <w:tc>
                <w:tcPr>
                  <w:tcW w:w="834" w:type="dxa"/>
                  <w:vMerge w:val="continue"/>
                  <w:vAlign w:val="center"/>
                </w:tcPr>
                <w:p w14:paraId="3C7B4CE0">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719" w:type="dxa"/>
                  <w:vAlign w:val="center"/>
                </w:tcPr>
                <w:p w14:paraId="18BD3655">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消减替代倍数</w:t>
                  </w:r>
                </w:p>
              </w:tc>
              <w:tc>
                <w:tcPr>
                  <w:tcW w:w="822" w:type="dxa"/>
                  <w:vAlign w:val="center"/>
                </w:tcPr>
                <w:p w14:paraId="18C76667">
                  <w:pPr>
                    <w:pStyle w:val="36"/>
                    <w:adjustRightInd/>
                    <w:snapToGrid/>
                    <w:ind w:left="0" w:lef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削减替代量</w:t>
                  </w:r>
                </w:p>
                <w:p w14:paraId="275727C1">
                  <w:pPr>
                    <w:pStyle w:val="36"/>
                    <w:adjustRightInd/>
                    <w:snapToGrid/>
                    <w:ind w:left="0" w:leftChars="0" w:firstLine="0" w:firstLineChars="0"/>
                    <w:jc w:val="center"/>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t/a</w:t>
                  </w:r>
                  <w:r>
                    <w:rPr>
                      <w:rFonts w:hint="eastAsia" w:ascii="Times New Roman" w:hAnsi="Times New Roman" w:eastAsia="宋体" w:cs="Times New Roman"/>
                      <w:sz w:val="21"/>
                      <w:szCs w:val="21"/>
                      <w:highlight w:val="none"/>
                      <w:lang w:val="en-US" w:eastAsia="zh-CN"/>
                    </w:rPr>
                    <w:t>)</w:t>
                  </w:r>
                </w:p>
              </w:tc>
            </w:tr>
            <w:tr w14:paraId="04F40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vMerge w:val="restart"/>
                  <w:vAlign w:val="center"/>
                </w:tcPr>
                <w:p w14:paraId="322BCACE">
                  <w:pPr>
                    <w:pStyle w:val="36"/>
                    <w:adjustRightInd/>
                    <w:snapToGrid/>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福建绿生源户外用品有限公司</w:t>
                  </w:r>
                </w:p>
              </w:tc>
              <w:tc>
                <w:tcPr>
                  <w:tcW w:w="676" w:type="dxa"/>
                  <w:vMerge w:val="restart"/>
                  <w:vAlign w:val="center"/>
                </w:tcPr>
                <w:p w14:paraId="3C87B4BC">
                  <w:pPr>
                    <w:pStyle w:val="36"/>
                    <w:adjustRightInd/>
                    <w:snapToGrid/>
                    <w:ind w:left="0" w:lef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bCs/>
                      <w:sz w:val="21"/>
                      <w:szCs w:val="21"/>
                      <w:highlight w:val="none"/>
                      <w:lang w:val="en-US" w:eastAsia="zh-CN"/>
                    </w:rPr>
                    <w:t>泉州市永春县蓬壶镇蓬壶工业园</w:t>
                  </w:r>
                  <w:r>
                    <w:rPr>
                      <w:rFonts w:hint="eastAsia" w:ascii="Times New Roman" w:hAnsi="Times New Roman" w:eastAsia="宋体" w:cs="Times New Roman"/>
                      <w:bCs/>
                      <w:sz w:val="21"/>
                      <w:szCs w:val="21"/>
                      <w:highlight w:val="none"/>
                      <w:lang w:val="en-US" w:eastAsia="zh-CN"/>
                    </w:rPr>
                    <w:t>29</w:t>
                  </w:r>
                  <w:r>
                    <w:rPr>
                      <w:rFonts w:hint="default" w:ascii="Times New Roman" w:hAnsi="Times New Roman" w:eastAsia="宋体" w:cs="Times New Roman"/>
                      <w:bCs/>
                      <w:sz w:val="21"/>
                      <w:szCs w:val="21"/>
                      <w:highlight w:val="none"/>
                      <w:lang w:val="en-US" w:eastAsia="zh-CN"/>
                    </w:rPr>
                    <w:t>号</w:t>
                  </w:r>
                </w:p>
              </w:tc>
              <w:tc>
                <w:tcPr>
                  <w:tcW w:w="719" w:type="dxa"/>
                  <w:vMerge w:val="restart"/>
                  <w:vAlign w:val="center"/>
                </w:tcPr>
                <w:p w14:paraId="39B18121">
                  <w:pPr>
                    <w:pStyle w:val="36"/>
                    <w:adjustRightInd/>
                    <w:snapToGrid/>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绿生源户外</w:t>
                  </w:r>
                  <w:r>
                    <w:rPr>
                      <w:rFonts w:hint="eastAsia" w:ascii="Times New Roman" w:hAnsi="Times New Roman" w:eastAsia="宋体" w:cs="Times New Roman"/>
                      <w:color w:val="000000"/>
                      <w:sz w:val="21"/>
                      <w:szCs w:val="21"/>
                      <w:highlight w:val="none"/>
                      <w:lang w:val="en-US" w:eastAsia="zh-CN"/>
                    </w:rPr>
                    <w:t>用品</w:t>
                  </w:r>
                  <w:r>
                    <w:rPr>
                      <w:rFonts w:hint="default" w:ascii="Times New Roman" w:hAnsi="Times New Roman" w:eastAsia="宋体" w:cs="Times New Roman"/>
                      <w:color w:val="000000"/>
                      <w:sz w:val="21"/>
                      <w:szCs w:val="21"/>
                      <w:highlight w:val="none"/>
                      <w:lang w:val="en-US" w:eastAsia="zh-CN"/>
                    </w:rPr>
                    <w:t>生产</w:t>
                  </w:r>
                </w:p>
              </w:tc>
              <w:tc>
                <w:tcPr>
                  <w:tcW w:w="647" w:type="dxa"/>
                  <w:vMerge w:val="restart"/>
                  <w:vAlign w:val="center"/>
                </w:tcPr>
                <w:p w14:paraId="392559C7">
                  <w:pPr>
                    <w:pStyle w:val="36"/>
                    <w:adjustRightInd/>
                    <w:snapToGrid/>
                    <w:ind w:left="0" w:leftChars="0" w:firstLine="0" w:firstLineChars="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报告表</w:t>
                  </w:r>
                </w:p>
              </w:tc>
              <w:tc>
                <w:tcPr>
                  <w:tcW w:w="1266" w:type="dxa"/>
                  <w:vMerge w:val="restart"/>
                  <w:vAlign w:val="center"/>
                </w:tcPr>
                <w:p w14:paraId="11D256FD">
                  <w:pPr>
                    <w:pStyle w:val="36"/>
                    <w:adjustRightInd/>
                    <w:snapToGrid/>
                    <w:ind w:left="0" w:lef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C2319 包装装潢及其他印刷；</w:t>
                  </w:r>
                </w:p>
                <w:p w14:paraId="61AC3C94">
                  <w:pPr>
                    <w:pStyle w:val="36"/>
                    <w:adjustRightInd/>
                    <w:snapToGrid/>
                    <w:ind w:left="0" w:lef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C2929 塑料零件及其他塑料制品制造</w:t>
                  </w:r>
                </w:p>
              </w:tc>
              <w:tc>
                <w:tcPr>
                  <w:tcW w:w="719" w:type="dxa"/>
                  <w:vMerge w:val="restart"/>
                  <w:vAlign w:val="center"/>
                </w:tcPr>
                <w:p w14:paraId="0E372F28">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0.4521</w:t>
                  </w:r>
                </w:p>
              </w:tc>
              <w:tc>
                <w:tcPr>
                  <w:tcW w:w="1079" w:type="dxa"/>
                  <w:vAlign w:val="center"/>
                </w:tcPr>
                <w:p w14:paraId="3530BC36">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0.3617</w:t>
                  </w:r>
                </w:p>
              </w:tc>
              <w:tc>
                <w:tcPr>
                  <w:tcW w:w="834" w:type="dxa"/>
                  <w:vMerge w:val="restart"/>
                  <w:vAlign w:val="center"/>
                </w:tcPr>
                <w:p w14:paraId="1C0950D3">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0.1808</w:t>
                  </w:r>
                </w:p>
              </w:tc>
              <w:tc>
                <w:tcPr>
                  <w:tcW w:w="719" w:type="dxa"/>
                  <w:vMerge w:val="restart"/>
                  <w:vAlign w:val="center"/>
                </w:tcPr>
                <w:p w14:paraId="2677C97D">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822" w:type="dxa"/>
                  <w:vMerge w:val="restart"/>
                  <w:vAlign w:val="center"/>
                </w:tcPr>
                <w:p w14:paraId="6194CC96">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0.2170</w:t>
                  </w:r>
                </w:p>
              </w:tc>
            </w:tr>
            <w:tr w14:paraId="484B2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Merge w:val="continue"/>
                  <w:vAlign w:val="center"/>
                </w:tcPr>
                <w:p w14:paraId="106305DB">
                  <w:pPr>
                    <w:pStyle w:val="36"/>
                    <w:adjustRightInd/>
                    <w:snapToGrid/>
                    <w:rPr>
                      <w:rFonts w:hint="default" w:ascii="Times New Roman" w:hAnsi="Times New Roman" w:eastAsia="宋体" w:cs="Times New Roman"/>
                      <w:color w:val="000000"/>
                      <w:sz w:val="21"/>
                      <w:szCs w:val="21"/>
                      <w:highlight w:val="none"/>
                    </w:rPr>
                  </w:pPr>
                </w:p>
              </w:tc>
              <w:tc>
                <w:tcPr>
                  <w:tcW w:w="676" w:type="dxa"/>
                  <w:vMerge w:val="continue"/>
                  <w:vAlign w:val="center"/>
                </w:tcPr>
                <w:p w14:paraId="4F593865">
                  <w:pPr>
                    <w:pStyle w:val="36"/>
                    <w:adjustRightInd/>
                    <w:snapToGrid/>
                    <w:rPr>
                      <w:rFonts w:hint="default" w:ascii="Times New Roman" w:hAnsi="Times New Roman" w:eastAsia="宋体" w:cs="Times New Roman"/>
                      <w:sz w:val="21"/>
                      <w:szCs w:val="21"/>
                      <w:highlight w:val="none"/>
                    </w:rPr>
                  </w:pPr>
                </w:p>
              </w:tc>
              <w:tc>
                <w:tcPr>
                  <w:tcW w:w="719" w:type="dxa"/>
                  <w:vMerge w:val="continue"/>
                  <w:vAlign w:val="center"/>
                </w:tcPr>
                <w:p w14:paraId="2582F3BA">
                  <w:pPr>
                    <w:pStyle w:val="36"/>
                    <w:adjustRightInd/>
                    <w:snapToGrid/>
                    <w:rPr>
                      <w:rFonts w:hint="default" w:ascii="Times New Roman" w:hAnsi="Times New Roman" w:eastAsia="宋体" w:cs="Times New Roman"/>
                      <w:color w:val="000000"/>
                      <w:sz w:val="21"/>
                      <w:szCs w:val="21"/>
                      <w:highlight w:val="none"/>
                    </w:rPr>
                  </w:pPr>
                </w:p>
              </w:tc>
              <w:tc>
                <w:tcPr>
                  <w:tcW w:w="647" w:type="dxa"/>
                  <w:vMerge w:val="continue"/>
                  <w:vAlign w:val="center"/>
                </w:tcPr>
                <w:p w14:paraId="7AA0A405">
                  <w:pPr>
                    <w:pStyle w:val="36"/>
                    <w:adjustRightInd/>
                    <w:snapToGrid/>
                    <w:rPr>
                      <w:rFonts w:hint="default" w:ascii="Times New Roman" w:hAnsi="Times New Roman" w:eastAsia="宋体" w:cs="Times New Roman"/>
                      <w:sz w:val="21"/>
                      <w:szCs w:val="21"/>
                      <w:highlight w:val="none"/>
                    </w:rPr>
                  </w:pPr>
                </w:p>
              </w:tc>
              <w:tc>
                <w:tcPr>
                  <w:tcW w:w="1266" w:type="dxa"/>
                  <w:vMerge w:val="continue"/>
                  <w:vAlign w:val="center"/>
                </w:tcPr>
                <w:p w14:paraId="6B026C46">
                  <w:pPr>
                    <w:pStyle w:val="36"/>
                    <w:adjustRightInd/>
                    <w:snapToGrid/>
                    <w:rPr>
                      <w:rFonts w:hint="default" w:ascii="Times New Roman" w:hAnsi="Times New Roman" w:eastAsia="宋体" w:cs="Times New Roman"/>
                      <w:sz w:val="21"/>
                      <w:szCs w:val="21"/>
                      <w:highlight w:val="none"/>
                    </w:rPr>
                  </w:pPr>
                </w:p>
              </w:tc>
              <w:tc>
                <w:tcPr>
                  <w:tcW w:w="719" w:type="dxa"/>
                  <w:vMerge w:val="continue"/>
                  <w:vAlign w:val="center"/>
                </w:tcPr>
                <w:p w14:paraId="3291382A">
                  <w:pPr>
                    <w:pStyle w:val="36"/>
                    <w:adjustRightInd/>
                    <w:snapToGrid/>
                    <w:rPr>
                      <w:rFonts w:hint="default" w:ascii="Times New Roman" w:hAnsi="Times New Roman" w:eastAsia="宋体" w:cs="Times New Roman"/>
                      <w:color w:val="auto"/>
                      <w:sz w:val="21"/>
                      <w:szCs w:val="21"/>
                      <w:highlight w:val="none"/>
                    </w:rPr>
                  </w:pPr>
                </w:p>
              </w:tc>
              <w:tc>
                <w:tcPr>
                  <w:tcW w:w="1079" w:type="dxa"/>
                  <w:vAlign w:val="center"/>
                </w:tcPr>
                <w:p w14:paraId="1D2FC2E6">
                  <w:pPr>
                    <w:pStyle w:val="36"/>
                    <w:adjustRightInd/>
                    <w:snapToGrid/>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0.0904</w:t>
                  </w:r>
                </w:p>
              </w:tc>
              <w:tc>
                <w:tcPr>
                  <w:tcW w:w="834" w:type="dxa"/>
                  <w:vMerge w:val="continue"/>
                  <w:vAlign w:val="center"/>
                </w:tcPr>
                <w:p w14:paraId="6B844479">
                  <w:pPr>
                    <w:pStyle w:val="36"/>
                    <w:adjustRightInd/>
                    <w:snapToGrid/>
                    <w:rPr>
                      <w:rFonts w:hint="default" w:ascii="Times New Roman" w:hAnsi="Times New Roman" w:eastAsia="宋体" w:cs="Times New Roman"/>
                      <w:sz w:val="21"/>
                      <w:szCs w:val="21"/>
                      <w:highlight w:val="none"/>
                    </w:rPr>
                  </w:pPr>
                </w:p>
              </w:tc>
              <w:tc>
                <w:tcPr>
                  <w:tcW w:w="719" w:type="dxa"/>
                  <w:vMerge w:val="continue"/>
                  <w:vAlign w:val="center"/>
                </w:tcPr>
                <w:p w14:paraId="6735F6FA">
                  <w:pPr>
                    <w:pStyle w:val="36"/>
                    <w:adjustRightInd/>
                    <w:snapToGrid/>
                    <w:rPr>
                      <w:rFonts w:hint="default" w:ascii="Times New Roman" w:hAnsi="Times New Roman" w:eastAsia="宋体" w:cs="Times New Roman"/>
                      <w:sz w:val="21"/>
                      <w:szCs w:val="21"/>
                      <w:highlight w:val="none"/>
                    </w:rPr>
                  </w:pPr>
                </w:p>
              </w:tc>
              <w:tc>
                <w:tcPr>
                  <w:tcW w:w="822" w:type="dxa"/>
                  <w:vMerge w:val="continue"/>
                  <w:vAlign w:val="center"/>
                </w:tcPr>
                <w:p w14:paraId="5E426E9F">
                  <w:pPr>
                    <w:pStyle w:val="36"/>
                    <w:adjustRightInd/>
                    <w:snapToGrid/>
                    <w:rPr>
                      <w:rFonts w:hint="default" w:ascii="Times New Roman" w:hAnsi="Times New Roman" w:eastAsia="宋体" w:cs="Times New Roman"/>
                      <w:sz w:val="21"/>
                      <w:szCs w:val="21"/>
                      <w:highlight w:val="none"/>
                    </w:rPr>
                  </w:pPr>
                </w:p>
              </w:tc>
            </w:tr>
          </w:tbl>
          <w:p w14:paraId="50679692">
            <w:pPr>
              <w:rPr>
                <w:rFonts w:hint="eastAsia" w:ascii="宋体" w:hAnsi="宋体" w:eastAsia="宋体" w:cs="宋体"/>
                <w:b w:val="0"/>
                <w:bCs w:val="0"/>
                <w:color w:val="000000"/>
                <w:kern w:val="0"/>
                <w:sz w:val="24"/>
                <w:szCs w:val="20"/>
                <w:highlight w:val="none"/>
                <w:lang w:val="en-US" w:eastAsia="zh-CN"/>
              </w:rPr>
            </w:pPr>
          </w:p>
          <w:p w14:paraId="2C7B769A">
            <w:pPr>
              <w:rPr>
                <w:rFonts w:hint="default" w:ascii="Times New Roman" w:hAnsi="Times New Roman" w:cs="Times New Roman"/>
                <w:b/>
                <w:bCs/>
                <w:color w:val="000000"/>
                <w:kern w:val="0"/>
                <w:sz w:val="24"/>
                <w:szCs w:val="20"/>
                <w:highlight w:val="none"/>
                <w:lang w:val="en-US" w:eastAsia="zh-CN"/>
              </w:rPr>
            </w:pPr>
          </w:p>
        </w:tc>
      </w:tr>
    </w:tbl>
    <w:p w14:paraId="6808EF6B">
      <w:pPr>
        <w:rPr>
          <w:rFonts w:ascii="Arial"/>
          <w:sz w:val="21"/>
          <w:highlight w:val="none"/>
        </w:rPr>
      </w:pPr>
      <w:r>
        <w:rPr>
          <w:rFonts w:ascii="Arial"/>
          <w:sz w:val="21"/>
          <w:highlight w:val="none"/>
        </w:rPr>
        <w:br w:type="page"/>
      </w:r>
    </w:p>
    <w:p w14:paraId="7EBD968A">
      <w:pPr>
        <w:pStyle w:val="3"/>
        <w:bidi w:val="0"/>
        <w:jc w:val="center"/>
        <w:outlineLvl w:val="0"/>
        <w:rPr>
          <w:rFonts w:ascii="黑体" w:hAnsi="黑体" w:eastAsia="黑体" w:cs="黑体"/>
          <w:sz w:val="29"/>
          <w:szCs w:val="29"/>
          <w:highlight w:val="none"/>
        </w:rPr>
      </w:pPr>
      <w:bookmarkStart w:id="8" w:name="_Toc27825"/>
      <w:r>
        <w:rPr>
          <w:rFonts w:ascii="黑体" w:hAnsi="黑体" w:eastAsia="黑体" w:cs="黑体"/>
          <w:spacing w:val="14"/>
          <w:sz w:val="29"/>
          <w:szCs w:val="29"/>
          <w:highlight w:val="none"/>
        </w:rPr>
        <w:t>四</w:t>
      </w:r>
      <w:r>
        <w:rPr>
          <w:rFonts w:ascii="黑体" w:hAnsi="黑体" w:eastAsia="黑体" w:cs="黑体"/>
          <w:spacing w:val="9"/>
          <w:sz w:val="29"/>
          <w:szCs w:val="29"/>
          <w:highlight w:val="none"/>
        </w:rPr>
        <w:t>、</w:t>
      </w:r>
      <w:r>
        <w:rPr>
          <w:rFonts w:ascii="黑体" w:hAnsi="黑体" w:eastAsia="黑体" w:cs="黑体"/>
          <w:spacing w:val="7"/>
          <w:sz w:val="29"/>
          <w:szCs w:val="29"/>
          <w:highlight w:val="none"/>
        </w:rPr>
        <w:t>主要环境影响和保护措施</w:t>
      </w:r>
      <w:bookmarkEnd w:id="8"/>
    </w:p>
    <w:p w14:paraId="38D67E95">
      <w:pPr>
        <w:spacing w:line="16" w:lineRule="exact"/>
        <w:rPr>
          <w:highlight w:val="none"/>
        </w:rPr>
      </w:pPr>
    </w:p>
    <w:tbl>
      <w:tblPr>
        <w:tblStyle w:val="21"/>
        <w:tblW w:w="8912"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8168"/>
      </w:tblGrid>
      <w:tr w14:paraId="18B6A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44" w:type="dxa"/>
            <w:tcBorders>
              <w:left w:val="single" w:color="000000" w:sz="6" w:space="0"/>
            </w:tcBorders>
            <w:vAlign w:val="top"/>
          </w:tcPr>
          <w:p w14:paraId="7421E9D4">
            <w:pPr>
              <w:spacing w:before="65" w:line="231" w:lineRule="auto"/>
              <w:ind w:left="163"/>
              <w:rPr>
                <w:rFonts w:ascii="宋体" w:hAnsi="宋体" w:eastAsia="宋体" w:cs="宋体"/>
                <w:sz w:val="20"/>
                <w:szCs w:val="20"/>
                <w:highlight w:val="none"/>
              </w:rPr>
            </w:pPr>
            <w:r>
              <w:rPr>
                <w:rFonts w:ascii="宋体" w:hAnsi="宋体" w:eastAsia="宋体" w:cs="宋体"/>
                <w:spacing w:val="5"/>
                <w:sz w:val="20"/>
                <w:szCs w:val="20"/>
                <w:highlight w:val="none"/>
              </w:rPr>
              <w:t>施工</w:t>
            </w:r>
          </w:p>
          <w:p w14:paraId="0E664CF2">
            <w:pPr>
              <w:spacing w:before="23" w:line="229" w:lineRule="auto"/>
              <w:ind w:left="167"/>
              <w:rPr>
                <w:rFonts w:ascii="宋体" w:hAnsi="宋体" w:eastAsia="宋体" w:cs="宋体"/>
                <w:sz w:val="20"/>
                <w:szCs w:val="20"/>
                <w:highlight w:val="none"/>
              </w:rPr>
            </w:pPr>
            <w:r>
              <w:rPr>
                <w:rFonts w:ascii="宋体" w:hAnsi="宋体" w:eastAsia="宋体" w:cs="宋体"/>
                <w:spacing w:val="4"/>
                <w:sz w:val="20"/>
                <w:szCs w:val="20"/>
                <w:highlight w:val="none"/>
              </w:rPr>
              <w:t>期</w:t>
            </w:r>
            <w:r>
              <w:rPr>
                <w:rFonts w:ascii="宋体" w:hAnsi="宋体" w:eastAsia="宋体" w:cs="宋体"/>
                <w:spacing w:val="3"/>
                <w:sz w:val="20"/>
                <w:szCs w:val="20"/>
                <w:highlight w:val="none"/>
              </w:rPr>
              <w:t>环</w:t>
            </w:r>
          </w:p>
          <w:p w14:paraId="70E487A0">
            <w:pPr>
              <w:spacing w:before="23" w:line="229" w:lineRule="auto"/>
              <w:ind w:left="165"/>
              <w:rPr>
                <w:rFonts w:ascii="宋体" w:hAnsi="宋体" w:eastAsia="宋体" w:cs="宋体"/>
                <w:sz w:val="20"/>
                <w:szCs w:val="20"/>
                <w:highlight w:val="none"/>
              </w:rPr>
            </w:pPr>
            <w:r>
              <w:rPr>
                <w:rFonts w:ascii="宋体" w:hAnsi="宋体" w:eastAsia="宋体" w:cs="宋体"/>
                <w:spacing w:val="4"/>
                <w:sz w:val="20"/>
                <w:szCs w:val="20"/>
                <w:highlight w:val="none"/>
              </w:rPr>
              <w:t>境保</w:t>
            </w:r>
          </w:p>
          <w:p w14:paraId="4CBCE558">
            <w:pPr>
              <w:spacing w:before="25" w:line="229" w:lineRule="auto"/>
              <w:ind w:left="165"/>
              <w:rPr>
                <w:rFonts w:ascii="宋体" w:hAnsi="宋体" w:eastAsia="宋体" w:cs="宋体"/>
                <w:sz w:val="20"/>
                <w:szCs w:val="20"/>
                <w:highlight w:val="none"/>
              </w:rPr>
            </w:pPr>
            <w:r>
              <w:rPr>
                <w:rFonts w:ascii="宋体" w:hAnsi="宋体" w:eastAsia="宋体" w:cs="宋体"/>
                <w:spacing w:val="4"/>
                <w:sz w:val="20"/>
                <w:szCs w:val="20"/>
                <w:highlight w:val="none"/>
              </w:rPr>
              <w:t>护措</w:t>
            </w:r>
          </w:p>
          <w:p w14:paraId="0A0EE7ED">
            <w:pPr>
              <w:spacing w:before="23" w:line="231" w:lineRule="auto"/>
              <w:ind w:left="269"/>
              <w:rPr>
                <w:rFonts w:ascii="宋体" w:hAnsi="宋体" w:eastAsia="宋体" w:cs="宋体"/>
                <w:sz w:val="20"/>
                <w:szCs w:val="20"/>
                <w:highlight w:val="none"/>
              </w:rPr>
            </w:pPr>
            <w:r>
              <w:rPr>
                <w:rFonts w:ascii="宋体" w:hAnsi="宋体" w:eastAsia="宋体" w:cs="宋体"/>
                <w:spacing w:val="1"/>
                <w:sz w:val="20"/>
                <w:szCs w:val="20"/>
                <w:highlight w:val="none"/>
              </w:rPr>
              <w:t>施</w:t>
            </w:r>
          </w:p>
        </w:tc>
        <w:tc>
          <w:tcPr>
            <w:tcW w:w="8168" w:type="dxa"/>
            <w:tcBorders>
              <w:right w:val="single" w:color="000000" w:sz="6" w:space="0"/>
            </w:tcBorders>
            <w:vAlign w:val="center"/>
          </w:tcPr>
          <w:p w14:paraId="2986D155">
            <w:pPr>
              <w:spacing w:line="36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根据现场踏勘，本项目</w:t>
            </w:r>
            <w:r>
              <w:rPr>
                <w:rFonts w:hint="eastAsia" w:ascii="宋体" w:hAnsi="宋体" w:eastAsia="宋体" w:cs="宋体"/>
                <w:sz w:val="24"/>
                <w:szCs w:val="24"/>
                <w:highlight w:val="none"/>
                <w:lang w:val="en-US" w:eastAsia="zh-CN"/>
              </w:rPr>
              <w:t>依托</w:t>
            </w:r>
            <w:r>
              <w:rPr>
                <w:rFonts w:hint="eastAsia" w:ascii="宋体" w:hAnsi="宋体" w:eastAsia="宋体" w:cs="宋体"/>
                <w:sz w:val="24"/>
                <w:szCs w:val="24"/>
                <w:highlight w:val="none"/>
              </w:rPr>
              <w:t>既有厂房进行生产，仅进行设备安装，本报告不再分析施工期的产污环节及环境影响。</w:t>
            </w:r>
          </w:p>
        </w:tc>
      </w:tr>
      <w:tr w14:paraId="3670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44" w:type="dxa"/>
            <w:tcBorders>
              <w:left w:val="single" w:color="000000" w:sz="6" w:space="0"/>
            </w:tcBorders>
            <w:shd w:val="clear" w:color="auto" w:fill="auto"/>
            <w:vAlign w:val="center"/>
          </w:tcPr>
          <w:p w14:paraId="63AD1522">
            <w:pPr>
              <w:spacing w:before="65" w:line="271" w:lineRule="exact"/>
              <w:ind w:left="164"/>
              <w:rPr>
                <w:rFonts w:ascii="宋体" w:hAnsi="宋体" w:eastAsia="宋体" w:cs="宋体"/>
                <w:snapToGrid w:val="0"/>
                <w:color w:val="000000"/>
                <w:kern w:val="0"/>
                <w:sz w:val="20"/>
                <w:szCs w:val="20"/>
                <w:highlight w:val="none"/>
              </w:rPr>
            </w:pPr>
            <w:r>
              <w:rPr>
                <w:rFonts w:ascii="宋体" w:hAnsi="宋体" w:eastAsia="宋体" w:cs="宋体"/>
                <w:spacing w:val="5"/>
                <w:position w:val="4"/>
                <w:sz w:val="20"/>
                <w:szCs w:val="20"/>
                <w:highlight w:val="none"/>
              </w:rPr>
              <w:t>运</w:t>
            </w:r>
            <w:r>
              <w:rPr>
                <w:rFonts w:ascii="宋体" w:hAnsi="宋体" w:eastAsia="宋体" w:cs="宋体"/>
                <w:spacing w:val="4"/>
                <w:position w:val="4"/>
                <w:sz w:val="20"/>
                <w:szCs w:val="20"/>
                <w:highlight w:val="none"/>
              </w:rPr>
              <w:t>营</w:t>
            </w:r>
            <w:r>
              <w:rPr>
                <w:rFonts w:ascii="宋体" w:hAnsi="宋体" w:eastAsia="宋体" w:cs="宋体"/>
                <w:spacing w:val="4"/>
                <w:sz w:val="20"/>
                <w:szCs w:val="20"/>
                <w:highlight w:val="none"/>
              </w:rPr>
              <w:t>期</w:t>
            </w:r>
            <w:r>
              <w:rPr>
                <w:rFonts w:ascii="宋体" w:hAnsi="宋体" w:eastAsia="宋体" w:cs="宋体"/>
                <w:spacing w:val="3"/>
                <w:sz w:val="20"/>
                <w:szCs w:val="20"/>
                <w:highlight w:val="none"/>
              </w:rPr>
              <w:t>环</w:t>
            </w:r>
            <w:r>
              <w:rPr>
                <w:rFonts w:ascii="宋体" w:hAnsi="宋体" w:eastAsia="宋体" w:cs="宋体"/>
                <w:spacing w:val="4"/>
                <w:sz w:val="20"/>
                <w:szCs w:val="20"/>
                <w:highlight w:val="none"/>
              </w:rPr>
              <w:t>境影</w:t>
            </w:r>
            <w:r>
              <w:rPr>
                <w:rFonts w:ascii="宋体" w:hAnsi="宋体" w:eastAsia="宋体" w:cs="宋体"/>
                <w:spacing w:val="-1"/>
                <w:sz w:val="20"/>
                <w:szCs w:val="20"/>
                <w:highlight w:val="none"/>
              </w:rPr>
              <w:t>响和</w:t>
            </w:r>
            <w:r>
              <w:rPr>
                <w:rFonts w:ascii="宋体" w:hAnsi="宋体" w:eastAsia="宋体" w:cs="宋体"/>
                <w:spacing w:val="4"/>
                <w:sz w:val="20"/>
                <w:szCs w:val="20"/>
                <w:highlight w:val="none"/>
              </w:rPr>
              <w:t>保护</w:t>
            </w:r>
            <w:r>
              <w:rPr>
                <w:rFonts w:ascii="宋体" w:hAnsi="宋体" w:eastAsia="宋体" w:cs="宋体"/>
                <w:spacing w:val="5"/>
                <w:sz w:val="20"/>
                <w:szCs w:val="20"/>
                <w:highlight w:val="none"/>
              </w:rPr>
              <w:t>措</w:t>
            </w:r>
            <w:r>
              <w:rPr>
                <w:rFonts w:ascii="宋体" w:hAnsi="宋体" w:eastAsia="宋体" w:cs="宋体"/>
                <w:spacing w:val="4"/>
                <w:sz w:val="20"/>
                <w:szCs w:val="20"/>
                <w:highlight w:val="none"/>
              </w:rPr>
              <w:t>施</w:t>
            </w:r>
          </w:p>
        </w:tc>
        <w:tc>
          <w:tcPr>
            <w:tcW w:w="8168" w:type="dxa"/>
            <w:tcBorders>
              <w:right w:val="single" w:color="000000" w:sz="6" w:space="0"/>
            </w:tcBorders>
            <w:shd w:val="clear" w:color="auto" w:fill="auto"/>
            <w:vAlign w:val="top"/>
          </w:tcPr>
          <w:p w14:paraId="05C424ED">
            <w:pPr>
              <w:spacing w:before="120" w:beforeLines="50" w:line="360" w:lineRule="auto"/>
              <w:rPr>
                <w:rFonts w:hint="default" w:ascii="Times New Roman" w:hAnsi="Times New Roman" w:cs="Times New Roman"/>
                <w:color w:val="000000"/>
                <w:sz w:val="28"/>
                <w:szCs w:val="22"/>
                <w:highlight w:val="none"/>
              </w:rPr>
            </w:pPr>
            <w:r>
              <w:rPr>
                <w:rFonts w:hint="default" w:ascii="Times New Roman" w:hAnsi="Times New Roman" w:cs="Times New Roman"/>
                <w:b/>
                <w:bCs/>
                <w:color w:val="000000"/>
                <w:sz w:val="28"/>
                <w:szCs w:val="22"/>
                <w:highlight w:val="none"/>
              </w:rPr>
              <w:t>4.1</w:t>
            </w:r>
            <w:r>
              <w:rPr>
                <w:rFonts w:hint="eastAsia" w:ascii="Times New Roman" w:hAnsi="Times New Roman" w:eastAsia="宋体" w:cs="Times New Roman"/>
                <w:b/>
                <w:bCs/>
                <w:color w:val="000000"/>
                <w:sz w:val="28"/>
                <w:szCs w:val="22"/>
                <w:highlight w:val="none"/>
                <w:lang w:val="en-US" w:eastAsia="zh-CN"/>
              </w:rPr>
              <w:t xml:space="preserve"> </w:t>
            </w:r>
            <w:r>
              <w:rPr>
                <w:rFonts w:hint="default" w:ascii="Times New Roman" w:hAnsi="Times New Roman" w:cs="Times New Roman"/>
                <w:b/>
                <w:bCs/>
                <w:color w:val="000000"/>
                <w:sz w:val="28"/>
                <w:szCs w:val="22"/>
                <w:highlight w:val="none"/>
              </w:rPr>
              <w:t>运营期废水环境影响和保护措施</w:t>
            </w:r>
          </w:p>
          <w:p w14:paraId="207ABBD3">
            <w:pPr>
              <w:pStyle w:val="12"/>
              <w:pBdr>
                <w:bottom w:val="none" w:color="auto" w:sz="0" w:space="0"/>
              </w:pBdr>
              <w:spacing w:line="360" w:lineRule="auto"/>
              <w:jc w:val="left"/>
              <w:rPr>
                <w:rFonts w:hint="default" w:ascii="Times New Roman" w:hAnsi="Times New Roman" w:cs="Times New Roman"/>
                <w:b/>
                <w:bCs/>
                <w:color w:val="000000"/>
                <w:sz w:val="24"/>
                <w:szCs w:val="24"/>
                <w:highlight w:val="none"/>
              </w:rPr>
            </w:pPr>
            <w:r>
              <w:rPr>
                <w:rFonts w:hint="default" w:ascii="Times New Roman" w:hAnsi="Times New Roman" w:cs="Times New Roman"/>
                <w:b/>
                <w:bCs/>
                <w:color w:val="000000"/>
                <w:sz w:val="24"/>
                <w:szCs w:val="24"/>
                <w:highlight w:val="none"/>
              </w:rPr>
              <w:t>4.1.1</w:t>
            </w:r>
            <w:r>
              <w:rPr>
                <w:rFonts w:hint="eastAsia" w:ascii="Times New Roman" w:hAnsi="Times New Roman" w:eastAsia="宋体" w:cs="Times New Roman"/>
                <w:b/>
                <w:bCs/>
                <w:color w:val="000000"/>
                <w:sz w:val="24"/>
                <w:szCs w:val="24"/>
                <w:highlight w:val="none"/>
                <w:lang w:val="en-US" w:eastAsia="zh-CN"/>
              </w:rPr>
              <w:t xml:space="preserve"> </w:t>
            </w:r>
            <w:r>
              <w:rPr>
                <w:rFonts w:hint="default" w:ascii="Times New Roman" w:hAnsi="Times New Roman" w:cs="Times New Roman"/>
                <w:b/>
                <w:bCs/>
                <w:color w:val="000000"/>
                <w:sz w:val="24"/>
                <w:szCs w:val="24"/>
                <w:highlight w:val="none"/>
              </w:rPr>
              <w:t>运营期废水源强核算</w:t>
            </w:r>
          </w:p>
          <w:p w14:paraId="22666FB3">
            <w:pPr>
              <w:spacing w:line="360" w:lineRule="auto"/>
              <w:ind w:firstLine="480" w:firstLineChars="200"/>
              <w:contextualSpacing/>
              <w:rPr>
                <w:rFonts w:hint="default" w:ascii="Times New Roman" w:hAnsi="Times New Roman" w:cs="Times New Roman"/>
                <w:sz w:val="24"/>
                <w:highlight w:val="none"/>
              </w:rPr>
            </w:pPr>
            <w:r>
              <w:rPr>
                <w:rFonts w:hint="default" w:ascii="Times New Roman" w:hAnsi="Times New Roman" w:cs="Times New Roman"/>
                <w:bCs/>
                <w:sz w:val="24"/>
                <w:highlight w:val="none"/>
              </w:rPr>
              <w:t>根据项目水平衡分析，</w:t>
            </w:r>
            <w:r>
              <w:rPr>
                <w:rFonts w:hint="eastAsia" w:ascii="Times New Roman" w:hAnsi="Times New Roman" w:eastAsia="宋体" w:cs="Times New Roman"/>
                <w:bCs/>
                <w:sz w:val="24"/>
                <w:highlight w:val="none"/>
                <w:lang w:val="en-US" w:eastAsia="zh-CN"/>
              </w:rPr>
              <w:t>项目主要废水为生活污水</w:t>
            </w:r>
            <w:r>
              <w:rPr>
                <w:rFonts w:hint="default" w:ascii="Times New Roman" w:hAnsi="Times New Roman" w:cs="Times New Roman"/>
                <w:bCs/>
                <w:sz w:val="24"/>
                <w:highlight w:val="none"/>
              </w:rPr>
              <w:t>。</w:t>
            </w:r>
            <w:r>
              <w:rPr>
                <w:rFonts w:hint="default" w:ascii="Times New Roman" w:hAnsi="Times New Roman" w:cs="Times New Roman"/>
                <w:sz w:val="24"/>
                <w:highlight w:val="none"/>
              </w:rPr>
              <w:t>生活污水</w:t>
            </w:r>
            <w:r>
              <w:rPr>
                <w:rFonts w:hint="eastAsia" w:ascii="Times New Roman" w:hAnsi="Times New Roman" w:eastAsia="宋体" w:cs="Times New Roman"/>
                <w:sz w:val="24"/>
                <w:highlight w:val="none"/>
                <w:lang w:val="en-US" w:eastAsia="zh-CN"/>
              </w:rPr>
              <w:t>依托出租方化粪池</w:t>
            </w:r>
            <w:r>
              <w:rPr>
                <w:rFonts w:hint="default" w:ascii="Times New Roman" w:hAnsi="Times New Roman" w:cs="Times New Roman"/>
                <w:sz w:val="24"/>
                <w:highlight w:val="none"/>
              </w:rPr>
              <w:t>处理达《污水综合排放标准》</w:t>
            </w:r>
            <w:r>
              <w:rPr>
                <w:rFonts w:hint="eastAsia" w:ascii="Times New Roman" w:hAnsi="Times New Roman" w:eastAsia="宋体" w:cs="Times New Roman"/>
                <w:sz w:val="24"/>
                <w:highlight w:val="none"/>
                <w:lang w:eastAsia="zh-CN"/>
              </w:rPr>
              <w:t>（GB 8978-1996）</w:t>
            </w:r>
            <w:r>
              <w:rPr>
                <w:rFonts w:hint="default" w:ascii="Times New Roman" w:hAnsi="Times New Roman" w:cs="Times New Roman"/>
                <w:sz w:val="24"/>
                <w:highlight w:val="none"/>
              </w:rPr>
              <w:t>表4三级标准，其中NH</w:t>
            </w:r>
            <w:r>
              <w:rPr>
                <w:rFonts w:hint="default" w:ascii="Times New Roman" w:hAnsi="Times New Roman" w:cs="Times New Roman"/>
                <w:sz w:val="24"/>
                <w:highlight w:val="none"/>
                <w:vertAlign w:val="subscript"/>
              </w:rPr>
              <w:t>3</w:t>
            </w:r>
            <w:r>
              <w:rPr>
                <w:rFonts w:hint="default" w:ascii="Times New Roman" w:hAnsi="Times New Roman" w:cs="Times New Roman"/>
                <w:sz w:val="24"/>
                <w:highlight w:val="none"/>
              </w:rPr>
              <w:t>-N处理</w:t>
            </w:r>
            <w:r>
              <w:rPr>
                <w:rFonts w:hint="eastAsia" w:ascii="Times New Roman" w:hAnsi="Times New Roman" w:eastAsia="宋体" w:cs="Times New Roman"/>
                <w:sz w:val="24"/>
                <w:highlight w:val="none"/>
                <w:lang w:eastAsia="zh-CN"/>
              </w:rPr>
              <w:t>达到</w:t>
            </w:r>
            <w:r>
              <w:rPr>
                <w:rFonts w:hint="default" w:ascii="Times New Roman" w:hAnsi="Times New Roman" w:cs="Times New Roman"/>
                <w:sz w:val="24"/>
                <w:highlight w:val="none"/>
              </w:rPr>
              <w:t>《污水排入城镇下水道水质标准》</w:t>
            </w:r>
            <w:r>
              <w:rPr>
                <w:rFonts w:hint="eastAsia" w:ascii="Times New Roman" w:hAnsi="Times New Roman" w:eastAsia="宋体" w:cs="Times New Roman"/>
                <w:sz w:val="24"/>
                <w:highlight w:val="none"/>
                <w:lang w:eastAsia="zh-CN"/>
              </w:rPr>
              <w:t>（GB/T 31962-2015）</w:t>
            </w:r>
            <w:r>
              <w:rPr>
                <w:rFonts w:hint="default" w:ascii="Times New Roman" w:hAnsi="Times New Roman" w:cs="Times New Roman"/>
                <w:sz w:val="24"/>
                <w:highlight w:val="none"/>
              </w:rPr>
              <w:t>表1B等级标准后，通过市政污水管网纳入蓬壶镇污水处理厂集中处理</w:t>
            </w:r>
            <w:r>
              <w:rPr>
                <w:rFonts w:hint="eastAsia" w:ascii="Times New Roman" w:hAnsi="Times New Roman" w:eastAsia="宋体" w:cs="Times New Roman"/>
                <w:sz w:val="24"/>
                <w:highlight w:val="none"/>
                <w:lang w:eastAsia="zh-CN"/>
              </w:rPr>
              <w:t>，达到</w:t>
            </w:r>
            <w:r>
              <w:rPr>
                <w:rFonts w:hint="default" w:ascii="Times New Roman" w:hAnsi="Times New Roman" w:cs="Times New Roman"/>
                <w:color w:val="000000"/>
                <w:sz w:val="24"/>
                <w:highlight w:val="none"/>
              </w:rPr>
              <w:t>《城镇污水处理厂污染物排放标准》</w:t>
            </w:r>
            <w:r>
              <w:rPr>
                <w:rFonts w:hint="eastAsia" w:ascii="Times New Roman" w:hAnsi="Times New Roman" w:eastAsia="宋体" w:cs="Times New Roman"/>
                <w:color w:val="000000"/>
                <w:sz w:val="24"/>
                <w:highlight w:val="none"/>
                <w:lang w:eastAsia="zh-CN"/>
              </w:rPr>
              <w:t>（GB 18918-2002）</w:t>
            </w:r>
            <w:r>
              <w:rPr>
                <w:rFonts w:hint="default" w:ascii="Times New Roman" w:hAnsi="Times New Roman" w:cs="Times New Roman"/>
                <w:color w:val="000000"/>
                <w:sz w:val="24"/>
                <w:highlight w:val="none"/>
              </w:rPr>
              <w:t>表1一级A标准后排放</w:t>
            </w:r>
            <w:r>
              <w:rPr>
                <w:rFonts w:hint="default" w:ascii="Times New Roman" w:hAnsi="Times New Roman" w:cs="Times New Roman"/>
                <w:sz w:val="24"/>
                <w:highlight w:val="none"/>
              </w:rPr>
              <w:t>。</w:t>
            </w:r>
          </w:p>
          <w:p w14:paraId="36856BE7">
            <w:pPr>
              <w:spacing w:line="360" w:lineRule="auto"/>
              <w:ind w:firstLine="480" w:firstLineChars="200"/>
              <w:jc w:val="both"/>
              <w:rPr>
                <w:rFonts w:hint="default" w:ascii="Times New Roman" w:hAnsi="Times New Roman" w:eastAsia="宋体" w:cs="Times New Roman"/>
                <w:bCs/>
                <w:color w:val="auto"/>
                <w:sz w:val="24"/>
                <w:highlight w:val="none"/>
              </w:rPr>
            </w:pPr>
            <w:r>
              <w:rPr>
                <w:rFonts w:hint="default" w:ascii="Times New Roman" w:hAnsi="Times New Roman" w:cs="Times New Roman"/>
                <w:bCs/>
                <w:sz w:val="24"/>
                <w:highlight w:val="none"/>
              </w:rPr>
              <w:t>项目生活污水排放量为3.</w:t>
            </w:r>
            <w:r>
              <w:rPr>
                <w:rFonts w:hint="eastAsia" w:ascii="Times New Roman" w:hAnsi="Times New Roman" w:eastAsia="宋体" w:cs="Times New Roman"/>
                <w:bCs/>
                <w:sz w:val="24"/>
                <w:highlight w:val="none"/>
                <w:lang w:val="en-US" w:eastAsia="zh-CN"/>
              </w:rPr>
              <w:t>4</w:t>
            </w:r>
            <w:r>
              <w:rPr>
                <w:rFonts w:hint="default" w:ascii="Times New Roman" w:hAnsi="Times New Roman" w:cs="Times New Roman"/>
                <w:bCs/>
                <w:sz w:val="24"/>
                <w:highlight w:val="none"/>
              </w:rPr>
              <w:t>t/d</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10</w:t>
            </w:r>
            <w:r>
              <w:rPr>
                <w:rFonts w:hint="eastAsia" w:ascii="Times New Roman" w:hAnsi="Times New Roman" w:eastAsia="宋体" w:cs="Times New Roman"/>
                <w:bCs/>
                <w:sz w:val="24"/>
                <w:highlight w:val="none"/>
                <w:lang w:val="en-US" w:eastAsia="zh-CN"/>
              </w:rPr>
              <w:t>60.8</w:t>
            </w:r>
            <w:r>
              <w:rPr>
                <w:rFonts w:hint="default" w:ascii="Times New Roman" w:hAnsi="Times New Roman" w:cs="Times New Roman"/>
                <w:bCs/>
                <w:sz w:val="24"/>
                <w:highlight w:val="none"/>
              </w:rPr>
              <w:t>t/a</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。根据《排放源统计调查产排污核算方法和系数手册》中《生活源产排污核算方法和系数手册</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第二次全国污染源普查生活污染源产排污系数手册</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试用版</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》并且参照当地情况，生活污水水质情况大体为</w:t>
            </w:r>
            <w:r>
              <w:rPr>
                <w:rFonts w:hint="eastAsia" w:ascii="Times New Roman" w:hAnsi="Times New Roman" w:eastAsia="宋体" w:cs="Times New Roman"/>
                <w:sz w:val="24"/>
                <w:highlight w:val="none"/>
                <w:lang w:eastAsia="zh-CN"/>
              </w:rPr>
              <w:t>COD</w:t>
            </w:r>
            <w:r>
              <w:rPr>
                <w:rFonts w:hint="default" w:ascii="Times New Roman" w:hAnsi="Times New Roman" w:cs="Times New Roman"/>
                <w:bCs/>
                <w:sz w:val="24"/>
                <w:highlight w:val="none"/>
              </w:rPr>
              <w:t>：340mg/L、BOD</w:t>
            </w:r>
            <w:r>
              <w:rPr>
                <w:rFonts w:hint="default" w:ascii="Times New Roman" w:hAnsi="Times New Roman" w:cs="Times New Roman"/>
                <w:bCs/>
                <w:sz w:val="24"/>
                <w:highlight w:val="none"/>
                <w:vertAlign w:val="subscript"/>
              </w:rPr>
              <w:t>5</w:t>
            </w:r>
            <w:r>
              <w:rPr>
                <w:rFonts w:hint="eastAsia" w:ascii="Times New Roman" w:hAnsi="Times New Roman" w:eastAsia="宋体" w:cs="Times New Roman"/>
                <w:bCs/>
                <w:sz w:val="24"/>
                <w:highlight w:val="none"/>
                <w:vertAlign w:val="subscript"/>
                <w:lang w:eastAsia="zh-CN"/>
              </w:rPr>
              <w:t>:</w:t>
            </w:r>
            <w:r>
              <w:rPr>
                <w:rFonts w:hint="eastAsia" w:ascii="Times New Roman" w:hAnsi="Times New Roman" w:eastAsia="宋体" w:cs="Times New Roman"/>
                <w:bCs/>
                <w:sz w:val="24"/>
                <w:highlight w:val="none"/>
                <w:lang w:val="en-US" w:eastAsia="zh-CN"/>
              </w:rPr>
              <w:t>1</w:t>
            </w:r>
            <w:r>
              <w:rPr>
                <w:rFonts w:hint="default" w:ascii="Times New Roman" w:hAnsi="Times New Roman" w:cs="Times New Roman"/>
                <w:bCs/>
                <w:sz w:val="24"/>
                <w:highlight w:val="none"/>
              </w:rPr>
              <w:t>20mg/L、SS：200mg/L、NH</w:t>
            </w:r>
            <w:r>
              <w:rPr>
                <w:rFonts w:hint="default" w:ascii="Times New Roman" w:hAnsi="Times New Roman" w:cs="Times New Roman"/>
                <w:bCs/>
                <w:sz w:val="24"/>
                <w:highlight w:val="none"/>
                <w:vertAlign w:val="subscript"/>
              </w:rPr>
              <w:t>3</w:t>
            </w:r>
            <w:r>
              <w:rPr>
                <w:rFonts w:hint="default" w:ascii="Times New Roman" w:hAnsi="Times New Roman" w:cs="Times New Roman"/>
                <w:bCs/>
                <w:sz w:val="24"/>
                <w:highlight w:val="none"/>
              </w:rPr>
              <w:t>-N：32.6mg/L</w:t>
            </w:r>
            <w:r>
              <w:rPr>
                <w:rFonts w:hint="default" w:ascii="Times New Roman" w:hAnsi="Times New Roman" w:cs="Times New Roman"/>
                <w:bCs/>
                <w:color w:val="auto"/>
                <w:sz w:val="24"/>
                <w:highlight w:val="none"/>
              </w:rPr>
              <w:t>。化粪池对主要水污染物去除率分别为：</w:t>
            </w:r>
            <w:r>
              <w:rPr>
                <w:rFonts w:hint="eastAsia" w:ascii="Times New Roman" w:hAnsi="Times New Roman" w:eastAsia="宋体" w:cs="Times New Roman"/>
                <w:color w:val="auto"/>
                <w:sz w:val="24"/>
                <w:highlight w:val="none"/>
                <w:lang w:eastAsia="zh-CN"/>
              </w:rPr>
              <w:t>COD</w:t>
            </w:r>
            <w:r>
              <w:rPr>
                <w:rFonts w:hint="default" w:ascii="Times New Roman" w:hAnsi="Times New Roman" w:cs="Times New Roman"/>
                <w:bCs/>
                <w:color w:val="auto"/>
                <w:sz w:val="24"/>
                <w:highlight w:val="none"/>
              </w:rPr>
              <w:t xml:space="preserve"> </w:t>
            </w:r>
            <w:r>
              <w:rPr>
                <w:rFonts w:hint="eastAsia" w:ascii="Times New Roman" w:hAnsi="Times New Roman" w:eastAsia="宋体" w:cs="Times New Roman"/>
                <w:bCs/>
                <w:color w:val="auto"/>
                <w:sz w:val="24"/>
                <w:highlight w:val="none"/>
                <w:lang w:val="en-US" w:eastAsia="zh-CN"/>
              </w:rPr>
              <w:t>55</w:t>
            </w:r>
            <w:r>
              <w:rPr>
                <w:rFonts w:hint="default" w:ascii="Times New Roman" w:hAnsi="Times New Roman" w:cs="Times New Roman"/>
                <w:bCs/>
                <w:color w:val="auto"/>
                <w:sz w:val="24"/>
                <w:highlight w:val="none"/>
              </w:rPr>
              <w:t>%、BOD</w:t>
            </w:r>
            <w:r>
              <w:rPr>
                <w:rFonts w:hint="default" w:ascii="Times New Roman" w:hAnsi="Times New Roman" w:cs="Times New Roman"/>
                <w:bCs/>
                <w:color w:val="auto"/>
                <w:sz w:val="24"/>
                <w:highlight w:val="none"/>
                <w:vertAlign w:val="subscript"/>
              </w:rPr>
              <w:t>5</w:t>
            </w:r>
            <w:r>
              <w:rPr>
                <w:rFonts w:hint="default" w:ascii="Times New Roman" w:hAnsi="Times New Roman" w:cs="Times New Roman"/>
                <w:bCs/>
                <w:color w:val="auto"/>
                <w:sz w:val="24"/>
                <w:highlight w:val="none"/>
              </w:rPr>
              <w:t xml:space="preserve"> </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cs="Times New Roman"/>
                <w:bCs/>
                <w:color w:val="auto"/>
                <w:sz w:val="24"/>
                <w:highlight w:val="none"/>
              </w:rPr>
              <w:t>0%、SS</w:t>
            </w:r>
            <w:r>
              <w:rPr>
                <w:rFonts w:hint="eastAsia" w:ascii="Times New Roman" w:hAnsi="Times New Roman" w:eastAsia="宋体" w:cs="Times New Roman"/>
                <w:bCs/>
                <w:color w:val="auto"/>
                <w:sz w:val="24"/>
                <w:highlight w:val="none"/>
                <w:lang w:val="en-US" w:eastAsia="zh-CN"/>
              </w:rPr>
              <w:t xml:space="preserve"> 6</w:t>
            </w:r>
            <w:r>
              <w:rPr>
                <w:rFonts w:hint="default" w:ascii="Times New Roman" w:hAnsi="Times New Roman" w:cs="Times New Roman"/>
                <w:bCs/>
                <w:color w:val="auto"/>
                <w:sz w:val="24"/>
                <w:highlight w:val="none"/>
              </w:rPr>
              <w:t>0%、NH</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 xml:space="preserve">-N </w:t>
            </w:r>
            <w:r>
              <w:rPr>
                <w:rFonts w:hint="eastAsia" w:ascii="Times New Roman" w:hAnsi="Times New Roman" w:eastAsia="宋体" w:cs="Times New Roman"/>
                <w:bCs/>
                <w:color w:val="auto"/>
                <w:sz w:val="24"/>
                <w:highlight w:val="none"/>
                <w:lang w:val="en-US" w:eastAsia="zh-CN"/>
              </w:rPr>
              <w:t>25</w:t>
            </w:r>
            <w:r>
              <w:rPr>
                <w:rFonts w:hint="default" w:ascii="Times New Roman" w:hAnsi="Times New Roman"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cs="Times New Roman"/>
                <w:bCs/>
                <w:color w:val="auto"/>
                <w:sz w:val="24"/>
                <w:highlight w:val="none"/>
              </w:rPr>
              <w:t>生活污水</w:t>
            </w:r>
            <w:r>
              <w:rPr>
                <w:rFonts w:hint="eastAsia" w:ascii="Times New Roman" w:hAnsi="Times New Roman" w:eastAsia="宋体" w:cs="Times New Roman"/>
                <w:bCs/>
                <w:color w:val="auto"/>
                <w:sz w:val="24"/>
                <w:highlight w:val="none"/>
                <w:lang w:val="en-US" w:eastAsia="zh-CN"/>
              </w:rPr>
              <w:t>先依托出租方</w:t>
            </w:r>
            <w:r>
              <w:rPr>
                <w:rFonts w:hint="default" w:ascii="Times New Roman" w:hAnsi="Times New Roman" w:cs="Times New Roman"/>
                <w:bCs/>
                <w:color w:val="auto"/>
                <w:sz w:val="24"/>
                <w:highlight w:val="none"/>
              </w:rPr>
              <w:t>化粪池处理</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color w:val="auto"/>
                <w:sz w:val="24"/>
                <w:highlight w:val="none"/>
                <w:lang w:val="en-US" w:eastAsia="zh-CN"/>
              </w:rPr>
              <w:t>经处理</w:t>
            </w:r>
            <w:r>
              <w:rPr>
                <w:rFonts w:hint="default" w:ascii="Times New Roman" w:hAnsi="Times New Roman" w:cs="Times New Roman"/>
                <w:bCs/>
                <w:color w:val="auto"/>
                <w:sz w:val="24"/>
                <w:highlight w:val="none"/>
              </w:rPr>
              <w:t>达到《污水综合排放标准》（</w:t>
            </w:r>
            <w:r>
              <w:rPr>
                <w:rFonts w:hint="eastAsia" w:ascii="Times New Roman" w:hAnsi="Times New Roman" w:eastAsia="宋体" w:cs="Times New Roman"/>
                <w:bCs/>
                <w:color w:val="auto"/>
                <w:sz w:val="24"/>
                <w:highlight w:val="none"/>
                <w:lang w:eastAsia="zh-CN"/>
              </w:rPr>
              <w:t>GB 8978-1996</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表</w:t>
            </w:r>
            <w:r>
              <w:rPr>
                <w:rFonts w:hint="default" w:ascii="Times New Roman" w:hAnsi="Times New Roman" w:cs="Times New Roman"/>
                <w:bCs/>
                <w:color w:val="auto"/>
                <w:sz w:val="24"/>
                <w:highlight w:val="none"/>
              </w:rPr>
              <w:t>4 中的三级标准</w:t>
            </w:r>
            <w:r>
              <w:rPr>
                <w:rFonts w:hint="eastAsia" w:ascii="Times New Roman" w:hAnsi="Times New Roman" w:eastAsia="宋体" w:cs="Times New Roman"/>
                <w:bCs/>
                <w:color w:val="auto"/>
                <w:sz w:val="24"/>
                <w:highlight w:val="none"/>
                <w:lang w:eastAsia="zh-CN"/>
              </w:rPr>
              <w:t>（</w:t>
            </w:r>
            <w:r>
              <w:rPr>
                <w:rFonts w:hint="default" w:ascii="Times New Roman" w:hAnsi="Times New Roman" w:cs="Times New Roman"/>
                <w:bCs/>
                <w:color w:val="auto"/>
                <w:sz w:val="24"/>
                <w:highlight w:val="none"/>
              </w:rPr>
              <w:t>NH</w:t>
            </w:r>
            <w:r>
              <w:rPr>
                <w:rFonts w:hint="default" w:ascii="Times New Roman" w:hAnsi="Times New Roman" w:cs="Times New Roman"/>
                <w:bCs/>
                <w:color w:val="auto"/>
                <w:sz w:val="24"/>
                <w:highlight w:val="none"/>
                <w:vertAlign w:val="subscript"/>
              </w:rPr>
              <w:t>3</w:t>
            </w:r>
            <w:r>
              <w:rPr>
                <w:rFonts w:hint="default" w:ascii="Times New Roman" w:hAnsi="Times New Roman" w:cs="Times New Roman"/>
                <w:bCs/>
                <w:color w:val="auto"/>
                <w:sz w:val="24"/>
                <w:highlight w:val="none"/>
              </w:rPr>
              <w:t>-N处理</w:t>
            </w:r>
            <w:r>
              <w:rPr>
                <w:rFonts w:hint="eastAsia" w:ascii="Times New Roman" w:hAnsi="Times New Roman" w:eastAsia="宋体" w:cs="Times New Roman"/>
                <w:bCs/>
                <w:color w:val="auto"/>
                <w:sz w:val="24"/>
                <w:highlight w:val="none"/>
                <w:lang w:eastAsia="zh-CN"/>
              </w:rPr>
              <w:t>达到</w:t>
            </w:r>
            <w:r>
              <w:rPr>
                <w:rFonts w:hint="default" w:ascii="Times New Roman" w:hAnsi="Times New Roman" w:cs="Times New Roman"/>
                <w:bCs/>
                <w:color w:val="auto"/>
                <w:sz w:val="24"/>
                <w:highlight w:val="none"/>
              </w:rPr>
              <w:t>《污水排入城镇下水道水质标准</w:t>
            </w:r>
            <w:r>
              <w:rPr>
                <w:rFonts w:hint="default" w:ascii="Times New Roman" w:hAnsi="Times New Roman" w:cs="Times New Roman"/>
                <w:color w:val="auto"/>
                <w:sz w:val="24"/>
                <w:highlight w:val="none"/>
              </w:rPr>
              <w:t>》</w:t>
            </w:r>
            <w:r>
              <w:rPr>
                <w:rFonts w:hint="eastAsia" w:ascii="Times New Roman" w:hAnsi="Times New Roman" w:eastAsia="宋体" w:cs="Times New Roman"/>
                <w:color w:val="auto"/>
                <w:sz w:val="24"/>
                <w:highlight w:val="none"/>
                <w:lang w:eastAsia="zh-CN"/>
              </w:rPr>
              <w:t>（GB/T 31962-2015）</w:t>
            </w:r>
            <w:r>
              <w:rPr>
                <w:rFonts w:hint="default" w:ascii="Times New Roman" w:hAnsi="Times New Roman" w:cs="Times New Roman"/>
                <w:color w:val="auto"/>
                <w:sz w:val="24"/>
                <w:highlight w:val="none"/>
              </w:rPr>
              <w:t>表1中</w:t>
            </w:r>
            <w:r>
              <w:rPr>
                <w:rFonts w:hint="eastAsia" w:ascii="Times New Roman" w:hAnsi="Times New Roman" w:eastAsia="宋体" w:cs="Times New Roman"/>
                <w:color w:val="auto"/>
                <w:sz w:val="24"/>
                <w:highlight w:val="none"/>
                <w:lang w:eastAsia="zh-CN"/>
              </w:rPr>
              <w:t>B等级标准）</w:t>
            </w:r>
            <w:r>
              <w:rPr>
                <w:rFonts w:hint="default" w:ascii="Times New Roman" w:hAnsi="Times New Roman" w:cs="Times New Roman"/>
                <w:color w:val="auto"/>
                <w:sz w:val="24"/>
                <w:highlight w:val="none"/>
              </w:rPr>
              <w:t>后由市政污水管网</w:t>
            </w:r>
            <w:r>
              <w:rPr>
                <w:rFonts w:hint="eastAsia" w:ascii="Times New Roman" w:hAnsi="Times New Roman" w:eastAsia="宋体" w:cs="Times New Roman"/>
                <w:color w:val="auto"/>
                <w:sz w:val="24"/>
                <w:highlight w:val="none"/>
                <w:lang w:val="en-US" w:eastAsia="zh-CN"/>
              </w:rPr>
              <w:t>纳</w:t>
            </w:r>
            <w:r>
              <w:rPr>
                <w:rFonts w:hint="default" w:ascii="Times New Roman" w:hAnsi="Times New Roman" w:cs="Times New Roman"/>
                <w:color w:val="auto"/>
                <w:sz w:val="24"/>
                <w:highlight w:val="none"/>
              </w:rPr>
              <w:t>入</w:t>
            </w:r>
            <w:r>
              <w:rPr>
                <w:rFonts w:hint="default" w:ascii="Times New Roman" w:hAnsi="Times New Roman" w:eastAsia="宋体" w:cs="Times New Roman"/>
                <w:color w:val="auto"/>
                <w:sz w:val="24"/>
                <w:highlight w:val="none"/>
                <w:lang w:val="en-US" w:eastAsia="zh-CN"/>
              </w:rPr>
              <w:t>蓬壶镇污水处理厂</w:t>
            </w:r>
            <w:r>
              <w:rPr>
                <w:rFonts w:hint="default" w:ascii="Times New Roman" w:hAnsi="Times New Roman" w:cs="Times New Roman"/>
                <w:color w:val="auto"/>
                <w:sz w:val="24"/>
                <w:highlight w:val="none"/>
              </w:rPr>
              <w:t>。</w:t>
            </w:r>
            <w:r>
              <w:rPr>
                <w:rFonts w:hint="eastAsia" w:ascii="Times New Roman" w:hAnsi="Times New Roman" w:eastAsia="宋体" w:cs="Times New Roman"/>
                <w:color w:val="auto"/>
                <w:sz w:val="24"/>
                <w:highlight w:val="none"/>
                <w:lang w:val="en-US" w:eastAsia="zh-CN"/>
              </w:rPr>
              <w:t>经</w:t>
            </w:r>
            <w:r>
              <w:rPr>
                <w:rFonts w:hint="default" w:ascii="Times New Roman" w:hAnsi="Times New Roman" w:cs="Times New Roman"/>
                <w:color w:val="auto"/>
                <w:sz w:val="24"/>
                <w:highlight w:val="none"/>
                <w:lang w:val="en-US" w:eastAsia="zh-CN"/>
              </w:rPr>
              <w:t>污水处理厂</w:t>
            </w:r>
            <w:r>
              <w:rPr>
                <w:rFonts w:hint="eastAsia" w:ascii="Times New Roman" w:hAnsi="Times New Roman" w:cs="Times New Roman"/>
                <w:color w:val="auto"/>
                <w:sz w:val="24"/>
                <w:highlight w:val="none"/>
                <w:lang w:val="en-US" w:eastAsia="zh-CN"/>
              </w:rPr>
              <w:t>处理后，达到《城镇污水处理厂污染物排放标准》（GB 18918-2002）表1一级A标准（</w:t>
            </w:r>
            <w:r>
              <w:rPr>
                <w:rFonts w:hint="eastAsia" w:ascii="Times New Roman" w:hAnsi="Times New Roman" w:eastAsia="宋体" w:cs="Times New Roman"/>
                <w:color w:val="auto"/>
                <w:sz w:val="24"/>
                <w:highlight w:val="none"/>
                <w:lang w:eastAsia="zh-CN"/>
              </w:rPr>
              <w:t>COD</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mg/L、BOD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mg/L、SS：</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mg/L、NH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mg/L</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后排放</w:t>
            </w:r>
            <w:r>
              <w:rPr>
                <w:rFonts w:hint="default" w:ascii="Times New Roman" w:hAnsi="Times New Roman" w:cs="Times New Roman"/>
                <w:color w:val="auto"/>
                <w:sz w:val="24"/>
                <w:highlight w:val="none"/>
                <w:lang w:eastAsia="zh-CN"/>
              </w:rPr>
              <w:t>。</w:t>
            </w:r>
            <w:r>
              <w:rPr>
                <w:rFonts w:hint="default" w:ascii="Times New Roman" w:hAnsi="Times New Roman" w:cs="Times New Roman"/>
                <w:bCs/>
                <w:color w:val="auto"/>
                <w:sz w:val="24"/>
                <w:highlight w:val="none"/>
              </w:rPr>
              <w:t>根据水平衡分析，项目生活污水排放量为</w:t>
            </w:r>
            <w:r>
              <w:rPr>
                <w:rFonts w:hint="default" w:ascii="Times New Roman" w:hAnsi="Times New Roman" w:eastAsia="宋体" w:cs="Times New Roman"/>
                <w:bCs/>
                <w:color w:val="auto"/>
                <w:sz w:val="24"/>
                <w:highlight w:val="none"/>
                <w:lang w:val="en-US" w:eastAsia="zh-CN"/>
              </w:rPr>
              <w:t>1060.8</w:t>
            </w:r>
            <w:r>
              <w:rPr>
                <w:rFonts w:hint="default" w:ascii="Times New Roman" w:hAnsi="Times New Roman" w:cs="Times New Roman"/>
                <w:bCs/>
                <w:color w:val="auto"/>
                <w:sz w:val="24"/>
                <w:highlight w:val="none"/>
              </w:rPr>
              <w:t>t/a。</w:t>
            </w:r>
            <w:r>
              <w:rPr>
                <w:rFonts w:hint="default" w:ascii="Times New Roman" w:hAnsi="Times New Roman" w:eastAsia="宋体" w:cs="Times New Roman"/>
                <w:bCs/>
                <w:color w:val="auto"/>
                <w:sz w:val="24"/>
                <w:highlight w:val="none"/>
                <w:lang w:val="en-US" w:eastAsia="zh-CN"/>
              </w:rPr>
              <w:t>则</w:t>
            </w:r>
            <w:r>
              <w:rPr>
                <w:rFonts w:hint="default" w:ascii="Times New Roman" w:hAnsi="Times New Roman" w:cs="Times New Roman"/>
                <w:bCs/>
                <w:color w:val="auto"/>
                <w:sz w:val="24"/>
                <w:highlight w:val="none"/>
              </w:rPr>
              <w:t>项目废水各污染物产生及排放情况详见表4</w:t>
            </w: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cs="Times New Roman"/>
                <w:bCs/>
                <w:color w:val="auto"/>
                <w:sz w:val="24"/>
                <w:highlight w:val="none"/>
              </w:rPr>
              <w:t>。</w:t>
            </w:r>
          </w:p>
          <w:p w14:paraId="1CE31E30">
            <w:pPr>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表4</w:t>
            </w:r>
            <w:r>
              <w:rPr>
                <w:rFonts w:hint="eastAsia" w:ascii="Times New Roman" w:hAnsi="Times New Roman" w:eastAsia="宋体" w:cs="Times New Roman"/>
                <w:b/>
                <w:sz w:val="24"/>
                <w:highlight w:val="none"/>
                <w:lang w:val="en-US" w:eastAsia="zh-CN"/>
              </w:rPr>
              <w:t>.1-1</w:t>
            </w:r>
            <w:r>
              <w:rPr>
                <w:rFonts w:hint="default" w:ascii="Times New Roman" w:hAnsi="Times New Roman" w:eastAsia="宋体" w:cs="Times New Roman"/>
                <w:b/>
                <w:sz w:val="24"/>
                <w:highlight w:val="none"/>
                <w:lang w:val="en-US" w:eastAsia="zh-CN"/>
              </w:rPr>
              <w:t xml:space="preserve"> </w:t>
            </w:r>
            <w:r>
              <w:rPr>
                <w:rFonts w:hint="default" w:ascii="Times New Roman" w:hAnsi="Times New Roman" w:cs="Times New Roman"/>
                <w:b/>
                <w:sz w:val="24"/>
                <w:highlight w:val="none"/>
              </w:rPr>
              <w:t>项目废水各污染物产生及排放情况</w:t>
            </w:r>
          </w:p>
          <w:tbl>
            <w:tblPr>
              <w:tblStyle w:val="17"/>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018"/>
              <w:gridCol w:w="1018"/>
              <w:gridCol w:w="1018"/>
              <w:gridCol w:w="1018"/>
              <w:gridCol w:w="1018"/>
              <w:gridCol w:w="1018"/>
              <w:gridCol w:w="1019"/>
              <w:gridCol w:w="1028"/>
            </w:tblGrid>
            <w:tr w14:paraId="0BAE670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30" w:hRule="atLeast"/>
              </w:trPr>
              <w:tc>
                <w:tcPr>
                  <w:tcW w:w="624" w:type="pct"/>
                  <w:vMerge w:val="restart"/>
                  <w:noWrap w:val="0"/>
                  <w:vAlign w:val="center"/>
                </w:tcPr>
                <w:p w14:paraId="519A17CA">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废水类别</w:t>
                  </w:r>
                </w:p>
              </w:tc>
              <w:tc>
                <w:tcPr>
                  <w:tcW w:w="624" w:type="pct"/>
                  <w:vMerge w:val="restart"/>
                  <w:noWrap w:val="0"/>
                  <w:vAlign w:val="center"/>
                </w:tcPr>
                <w:p w14:paraId="58BED252">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项目</w:t>
                  </w:r>
                </w:p>
              </w:tc>
              <w:tc>
                <w:tcPr>
                  <w:tcW w:w="624" w:type="pct"/>
                  <w:noWrap w:val="0"/>
                  <w:vAlign w:val="center"/>
                </w:tcPr>
                <w:p w14:paraId="1FFB1264">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废水量</w:t>
                  </w:r>
                </w:p>
              </w:tc>
              <w:tc>
                <w:tcPr>
                  <w:tcW w:w="3125" w:type="pct"/>
                  <w:gridSpan w:val="5"/>
                  <w:noWrap w:val="0"/>
                  <w:vAlign w:val="center"/>
                </w:tcPr>
                <w:p w14:paraId="7E2A10AE">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主要污染物产生/排放情况</w:t>
                  </w:r>
                </w:p>
              </w:tc>
            </w:tr>
            <w:tr w14:paraId="1AE1F6D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624" w:type="pct"/>
                  <w:vMerge w:val="continue"/>
                  <w:noWrap w:val="0"/>
                  <w:vAlign w:val="center"/>
                </w:tcPr>
                <w:p w14:paraId="66AD63AC">
                  <w:pPr>
                    <w:jc w:val="center"/>
                    <w:rPr>
                      <w:rFonts w:hint="default" w:ascii="Times New Roman" w:hAnsi="Times New Roman" w:eastAsia="新宋体" w:cs="Times New Roman"/>
                      <w:color w:val="000000"/>
                      <w:szCs w:val="21"/>
                      <w:highlight w:val="none"/>
                    </w:rPr>
                  </w:pPr>
                </w:p>
              </w:tc>
              <w:tc>
                <w:tcPr>
                  <w:tcW w:w="624" w:type="pct"/>
                  <w:vMerge w:val="continue"/>
                  <w:noWrap w:val="0"/>
                  <w:vAlign w:val="center"/>
                </w:tcPr>
                <w:p w14:paraId="023475EA">
                  <w:pPr>
                    <w:jc w:val="center"/>
                    <w:rPr>
                      <w:rFonts w:hint="default" w:ascii="Times New Roman" w:hAnsi="Times New Roman" w:eastAsia="新宋体" w:cs="Times New Roman"/>
                      <w:color w:val="000000"/>
                      <w:szCs w:val="21"/>
                      <w:highlight w:val="none"/>
                    </w:rPr>
                  </w:pPr>
                </w:p>
              </w:tc>
              <w:tc>
                <w:tcPr>
                  <w:tcW w:w="624" w:type="pct"/>
                  <w:noWrap w:val="0"/>
                  <w:vAlign w:val="center"/>
                </w:tcPr>
                <w:p w14:paraId="2123C472">
                  <w:pPr>
                    <w:widowControl/>
                    <w:jc w:val="center"/>
                    <w:textAlignment w:val="center"/>
                    <w:rPr>
                      <w:rFonts w:hint="eastAsia" w:ascii="Times New Roman" w:hAnsi="Times New Roman" w:eastAsia="宋体" w:cs="Times New Roman"/>
                      <w:color w:val="000000"/>
                      <w:szCs w:val="21"/>
                      <w:highlight w:val="none"/>
                      <w:lang w:eastAsia="zh-CN"/>
                    </w:rPr>
                  </w:pPr>
                  <w:r>
                    <w:rPr>
                      <w:rFonts w:hint="eastAsia" w:ascii="Times New Roman" w:hAnsi="Times New Roman" w:eastAsia="宋体" w:cs="Times New Roman"/>
                      <w:color w:val="000000"/>
                      <w:kern w:val="0"/>
                      <w:szCs w:val="21"/>
                      <w:highlight w:val="none"/>
                      <w:lang w:eastAsia="zh-CN" w:bidi="ar"/>
                    </w:rPr>
                    <w:t>(</w:t>
                  </w:r>
                  <w:r>
                    <w:rPr>
                      <w:rFonts w:hint="default" w:ascii="Times New Roman" w:hAnsi="Times New Roman" w:cs="Times New Roman"/>
                      <w:color w:val="000000"/>
                      <w:kern w:val="0"/>
                      <w:szCs w:val="21"/>
                      <w:highlight w:val="none"/>
                      <w:lang w:bidi="ar"/>
                    </w:rPr>
                    <w:t>t/a</w:t>
                  </w:r>
                  <w:r>
                    <w:rPr>
                      <w:rFonts w:hint="eastAsia" w:ascii="Times New Roman" w:hAnsi="Times New Roman" w:eastAsia="宋体" w:cs="Times New Roman"/>
                      <w:color w:val="000000"/>
                      <w:kern w:val="0"/>
                      <w:szCs w:val="21"/>
                      <w:highlight w:val="none"/>
                      <w:lang w:eastAsia="zh-CN" w:bidi="ar"/>
                    </w:rPr>
                    <w:t>)</w:t>
                  </w:r>
                </w:p>
              </w:tc>
              <w:tc>
                <w:tcPr>
                  <w:tcW w:w="624" w:type="pct"/>
                  <w:noWrap w:val="0"/>
                  <w:vAlign w:val="center"/>
                </w:tcPr>
                <w:p w14:paraId="2341795F">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污染物</w:t>
                  </w:r>
                </w:p>
              </w:tc>
              <w:tc>
                <w:tcPr>
                  <w:tcW w:w="624" w:type="pct"/>
                  <w:noWrap w:val="0"/>
                  <w:vAlign w:val="center"/>
                </w:tcPr>
                <w:p w14:paraId="6E35801F">
                  <w:pPr>
                    <w:widowControl/>
                    <w:jc w:val="center"/>
                    <w:textAlignment w:val="center"/>
                    <w:rPr>
                      <w:rFonts w:hint="eastAsia" w:ascii="Times New Roman" w:hAnsi="Times New Roman" w:eastAsia="宋体" w:cs="Times New Roman"/>
                      <w:color w:val="000000"/>
                      <w:szCs w:val="21"/>
                      <w:highlight w:val="none"/>
                      <w:lang w:eastAsia="zh-CN"/>
                    </w:rPr>
                  </w:pPr>
                  <w:r>
                    <w:rPr>
                      <w:rFonts w:hint="eastAsia" w:ascii="Times New Roman" w:hAnsi="Times New Roman" w:eastAsia="宋体" w:cs="Times New Roman"/>
                      <w:color w:val="000000"/>
                      <w:kern w:val="0"/>
                      <w:szCs w:val="21"/>
                      <w:highlight w:val="none"/>
                      <w:lang w:eastAsia="zh-CN" w:bidi="ar"/>
                    </w:rPr>
                    <w:t>COD</w:t>
                  </w:r>
                </w:p>
              </w:tc>
              <w:tc>
                <w:tcPr>
                  <w:tcW w:w="624" w:type="pct"/>
                  <w:noWrap w:val="0"/>
                  <w:vAlign w:val="center"/>
                </w:tcPr>
                <w:p w14:paraId="2044D2AA">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BOD</w:t>
                  </w:r>
                  <w:r>
                    <w:rPr>
                      <w:rFonts w:hint="default" w:ascii="Times New Roman" w:hAnsi="Times New Roman" w:cs="Times New Roman"/>
                      <w:color w:val="000000"/>
                      <w:kern w:val="0"/>
                      <w:szCs w:val="21"/>
                      <w:highlight w:val="none"/>
                      <w:vertAlign w:val="subscript"/>
                      <w:lang w:bidi="ar"/>
                    </w:rPr>
                    <w:t>5</w:t>
                  </w:r>
                </w:p>
              </w:tc>
              <w:tc>
                <w:tcPr>
                  <w:tcW w:w="624" w:type="pct"/>
                  <w:noWrap w:val="0"/>
                  <w:vAlign w:val="center"/>
                </w:tcPr>
                <w:p w14:paraId="7EED913D">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SS</w:t>
                  </w:r>
                </w:p>
              </w:tc>
              <w:tc>
                <w:tcPr>
                  <w:tcW w:w="628" w:type="pct"/>
                  <w:noWrap w:val="0"/>
                  <w:vAlign w:val="center"/>
                </w:tcPr>
                <w:p w14:paraId="21F095A3">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NH</w:t>
                  </w:r>
                  <w:r>
                    <w:rPr>
                      <w:rFonts w:hint="default" w:ascii="Times New Roman" w:hAnsi="Times New Roman" w:cs="Times New Roman"/>
                      <w:color w:val="000000"/>
                      <w:kern w:val="0"/>
                      <w:szCs w:val="21"/>
                      <w:highlight w:val="none"/>
                      <w:vertAlign w:val="subscript"/>
                      <w:lang w:bidi="ar"/>
                    </w:rPr>
                    <w:t>3</w:t>
                  </w:r>
                  <w:r>
                    <w:rPr>
                      <w:rFonts w:hint="default" w:ascii="Times New Roman" w:hAnsi="Times New Roman" w:cs="Times New Roman"/>
                      <w:color w:val="000000"/>
                      <w:kern w:val="0"/>
                      <w:szCs w:val="21"/>
                      <w:highlight w:val="none"/>
                      <w:lang w:bidi="ar"/>
                    </w:rPr>
                    <w:t>-N</w:t>
                  </w:r>
                </w:p>
              </w:tc>
            </w:tr>
            <w:tr w14:paraId="7D9C65B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24" w:type="pct"/>
                  <w:vMerge w:val="restart"/>
                  <w:noWrap w:val="0"/>
                  <w:vAlign w:val="center"/>
                </w:tcPr>
                <w:p w14:paraId="7CBAA424">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生活污水</w:t>
                  </w:r>
                </w:p>
              </w:tc>
              <w:tc>
                <w:tcPr>
                  <w:tcW w:w="624" w:type="pct"/>
                  <w:vMerge w:val="restart"/>
                  <w:noWrap w:val="0"/>
                  <w:vAlign w:val="center"/>
                </w:tcPr>
                <w:p w14:paraId="0A3AF63A">
                  <w:pPr>
                    <w:widowControl/>
                    <w:jc w:val="center"/>
                    <w:textAlignment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产生量</w:t>
                  </w:r>
                </w:p>
              </w:tc>
              <w:tc>
                <w:tcPr>
                  <w:tcW w:w="624" w:type="pct"/>
                  <w:vMerge w:val="restart"/>
                  <w:noWrap w:val="0"/>
                  <w:vAlign w:val="center"/>
                </w:tcPr>
                <w:p w14:paraId="7EB3BFF8">
                  <w:pPr>
                    <w:widowControl/>
                    <w:jc w:val="center"/>
                    <w:textAlignment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1060.8</w:t>
                  </w:r>
                </w:p>
              </w:tc>
              <w:tc>
                <w:tcPr>
                  <w:tcW w:w="624" w:type="pct"/>
                  <w:noWrap w:val="0"/>
                  <w:vAlign w:val="center"/>
                </w:tcPr>
                <w:p w14:paraId="7249CE6E">
                  <w:pPr>
                    <w:widowControl/>
                    <w:jc w:val="center"/>
                    <w:textAlignment w:val="center"/>
                    <w:rPr>
                      <w:rFonts w:hint="eastAsia" w:ascii="Times New Roman" w:hAnsi="Times New Roman" w:eastAsia="新宋体" w:cs="Times New Roman"/>
                      <w:color w:val="000000"/>
                      <w:szCs w:val="21"/>
                      <w:highlight w:val="none"/>
                      <w:lang w:eastAsia="zh-CN"/>
                    </w:rPr>
                  </w:pPr>
                  <w:r>
                    <w:rPr>
                      <w:rFonts w:hint="default" w:ascii="Times New Roman" w:hAnsi="Times New Roman" w:eastAsia="新宋体" w:cs="Times New Roman"/>
                      <w:color w:val="000000"/>
                      <w:kern w:val="0"/>
                      <w:szCs w:val="21"/>
                      <w:highlight w:val="none"/>
                      <w:lang w:bidi="ar"/>
                    </w:rPr>
                    <w:t>产生浓度</w:t>
                  </w:r>
                  <w:r>
                    <w:rPr>
                      <w:rFonts w:hint="eastAsia" w:ascii="Times New Roman" w:hAnsi="Times New Roman" w:eastAsia="新宋体" w:cs="Times New Roman"/>
                      <w:color w:val="000000"/>
                      <w:kern w:val="0"/>
                      <w:szCs w:val="21"/>
                      <w:highlight w:val="none"/>
                      <w:lang w:eastAsia="zh-CN" w:bidi="ar"/>
                    </w:rPr>
                    <w:t>（</w:t>
                  </w:r>
                  <w:r>
                    <w:rPr>
                      <w:rFonts w:hint="default" w:ascii="Times New Roman" w:hAnsi="Times New Roman" w:eastAsia="新宋体" w:cs="Times New Roman"/>
                      <w:color w:val="000000"/>
                      <w:kern w:val="0"/>
                      <w:szCs w:val="21"/>
                      <w:highlight w:val="none"/>
                      <w:lang w:bidi="ar"/>
                    </w:rPr>
                    <w:t>mg/L</w:t>
                  </w:r>
                  <w:r>
                    <w:rPr>
                      <w:rFonts w:hint="eastAsia" w:ascii="Times New Roman" w:hAnsi="Times New Roman" w:eastAsia="新宋体" w:cs="Times New Roman"/>
                      <w:color w:val="000000"/>
                      <w:kern w:val="0"/>
                      <w:szCs w:val="21"/>
                      <w:highlight w:val="none"/>
                      <w:lang w:eastAsia="zh-CN" w:bidi="ar"/>
                    </w:rPr>
                    <w:t>）</w:t>
                  </w:r>
                </w:p>
              </w:tc>
              <w:tc>
                <w:tcPr>
                  <w:tcW w:w="1017" w:type="dxa"/>
                  <w:noWrap w:val="0"/>
                  <w:vAlign w:val="center"/>
                </w:tcPr>
                <w:p w14:paraId="1EC42E90">
                  <w:pPr>
                    <w:pStyle w:val="36"/>
                    <w:adjustRightInd/>
                    <w:snapToGrid/>
                    <w:rPr>
                      <w:rFonts w:hint="default" w:ascii="Times New Roman" w:hAnsi="Times New Roman" w:cs="Times New Roman"/>
                      <w:color w:val="000000"/>
                      <w:szCs w:val="21"/>
                      <w:highlight w:val="none"/>
                    </w:rPr>
                  </w:pPr>
                  <w:r>
                    <w:rPr>
                      <w:rFonts w:hint="default" w:ascii="Times New Roman" w:hAnsi="Times New Roman" w:cs="Times New Roman"/>
                      <w:szCs w:val="21"/>
                      <w:highlight w:val="none"/>
                    </w:rPr>
                    <w:t>340</w:t>
                  </w:r>
                </w:p>
              </w:tc>
              <w:tc>
                <w:tcPr>
                  <w:tcW w:w="1017" w:type="dxa"/>
                  <w:noWrap w:val="0"/>
                  <w:vAlign w:val="center"/>
                </w:tcPr>
                <w:p w14:paraId="1FA9F965">
                  <w:pPr>
                    <w:pStyle w:val="36"/>
                    <w:adjustRightInd/>
                    <w:snapToGrid/>
                    <w:rPr>
                      <w:rFonts w:hint="default" w:ascii="Times New Roman" w:hAnsi="Times New Roman" w:cs="Times New Roman"/>
                      <w:color w:val="000000"/>
                      <w:szCs w:val="21"/>
                      <w:highlight w:val="none"/>
                    </w:rPr>
                  </w:pPr>
                  <w:r>
                    <w:rPr>
                      <w:rFonts w:hint="eastAsia" w:ascii="Times New Roman" w:hAnsi="Times New Roman" w:eastAsia="宋体" w:cs="Times New Roman"/>
                      <w:szCs w:val="21"/>
                      <w:highlight w:val="none"/>
                      <w:lang w:val="en-US" w:eastAsia="zh-CN"/>
                    </w:rPr>
                    <w:t>1</w:t>
                  </w:r>
                  <w:r>
                    <w:rPr>
                      <w:rFonts w:hint="default" w:ascii="Times New Roman" w:hAnsi="Times New Roman" w:cs="Times New Roman"/>
                      <w:szCs w:val="21"/>
                      <w:highlight w:val="none"/>
                    </w:rPr>
                    <w:t>20</w:t>
                  </w:r>
                </w:p>
              </w:tc>
              <w:tc>
                <w:tcPr>
                  <w:tcW w:w="1018" w:type="dxa"/>
                  <w:noWrap w:val="0"/>
                  <w:vAlign w:val="center"/>
                </w:tcPr>
                <w:p w14:paraId="2246DCA1">
                  <w:pPr>
                    <w:pStyle w:val="36"/>
                    <w:adjustRightInd/>
                    <w:snapToGrid/>
                    <w:rPr>
                      <w:rFonts w:hint="default" w:ascii="Times New Roman" w:hAnsi="Times New Roman" w:cs="Times New Roman"/>
                      <w:color w:val="000000"/>
                      <w:szCs w:val="21"/>
                      <w:highlight w:val="none"/>
                    </w:rPr>
                  </w:pPr>
                  <w:r>
                    <w:rPr>
                      <w:rFonts w:hint="default" w:ascii="Times New Roman" w:hAnsi="Times New Roman" w:cs="Times New Roman"/>
                      <w:szCs w:val="21"/>
                      <w:highlight w:val="none"/>
                    </w:rPr>
                    <w:t>200</w:t>
                  </w:r>
                </w:p>
              </w:tc>
              <w:tc>
                <w:tcPr>
                  <w:tcW w:w="1027" w:type="dxa"/>
                  <w:noWrap w:val="0"/>
                  <w:vAlign w:val="center"/>
                </w:tcPr>
                <w:p w14:paraId="6E54EDC0">
                  <w:pPr>
                    <w:pStyle w:val="36"/>
                    <w:adjustRightInd/>
                    <w:snapToGrid/>
                    <w:rPr>
                      <w:rFonts w:hint="default" w:ascii="Times New Roman" w:hAnsi="Times New Roman" w:cs="Times New Roman"/>
                      <w:color w:val="000000"/>
                      <w:szCs w:val="21"/>
                      <w:highlight w:val="none"/>
                    </w:rPr>
                  </w:pPr>
                  <w:r>
                    <w:rPr>
                      <w:rFonts w:hint="default" w:ascii="Times New Roman" w:hAnsi="Times New Roman" w:cs="Times New Roman"/>
                      <w:szCs w:val="21"/>
                      <w:highlight w:val="none"/>
                    </w:rPr>
                    <w:t>32.6</w:t>
                  </w:r>
                </w:p>
              </w:tc>
            </w:tr>
            <w:tr w14:paraId="64B3951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24" w:type="pct"/>
                  <w:vMerge w:val="continue"/>
                  <w:noWrap w:val="0"/>
                  <w:vAlign w:val="center"/>
                </w:tcPr>
                <w:p w14:paraId="4DF23988">
                  <w:pPr>
                    <w:jc w:val="center"/>
                    <w:rPr>
                      <w:rFonts w:hint="default" w:ascii="Times New Roman" w:hAnsi="Times New Roman" w:eastAsia="新宋体" w:cs="Times New Roman"/>
                      <w:color w:val="000000"/>
                      <w:szCs w:val="21"/>
                      <w:highlight w:val="none"/>
                    </w:rPr>
                  </w:pPr>
                </w:p>
              </w:tc>
              <w:tc>
                <w:tcPr>
                  <w:tcW w:w="624" w:type="pct"/>
                  <w:vMerge w:val="continue"/>
                  <w:noWrap w:val="0"/>
                  <w:vAlign w:val="center"/>
                </w:tcPr>
                <w:p w14:paraId="24EBBACB">
                  <w:pPr>
                    <w:jc w:val="center"/>
                    <w:rPr>
                      <w:rFonts w:hint="default" w:ascii="Times New Roman" w:hAnsi="Times New Roman" w:eastAsia="新宋体" w:cs="Times New Roman"/>
                      <w:color w:val="000000"/>
                      <w:szCs w:val="21"/>
                      <w:highlight w:val="none"/>
                    </w:rPr>
                  </w:pPr>
                </w:p>
              </w:tc>
              <w:tc>
                <w:tcPr>
                  <w:tcW w:w="624" w:type="pct"/>
                  <w:vMerge w:val="continue"/>
                  <w:noWrap w:val="0"/>
                  <w:vAlign w:val="center"/>
                </w:tcPr>
                <w:p w14:paraId="215B7A3E">
                  <w:pPr>
                    <w:jc w:val="center"/>
                    <w:rPr>
                      <w:rFonts w:hint="default" w:ascii="Times New Roman" w:hAnsi="Times New Roman" w:cs="Times New Roman"/>
                      <w:color w:val="000000"/>
                      <w:szCs w:val="21"/>
                      <w:highlight w:val="none"/>
                    </w:rPr>
                  </w:pPr>
                </w:p>
              </w:tc>
              <w:tc>
                <w:tcPr>
                  <w:tcW w:w="624" w:type="pct"/>
                  <w:noWrap w:val="0"/>
                  <w:vAlign w:val="center"/>
                </w:tcPr>
                <w:p w14:paraId="190C682E">
                  <w:pPr>
                    <w:widowControl/>
                    <w:jc w:val="center"/>
                    <w:textAlignment w:val="center"/>
                    <w:rPr>
                      <w:rFonts w:hint="eastAsia" w:ascii="Times New Roman" w:hAnsi="Times New Roman" w:eastAsia="新宋体" w:cs="Times New Roman"/>
                      <w:color w:val="000000"/>
                      <w:szCs w:val="21"/>
                      <w:highlight w:val="none"/>
                      <w:lang w:eastAsia="zh-CN"/>
                    </w:rPr>
                  </w:pPr>
                  <w:r>
                    <w:rPr>
                      <w:rFonts w:hint="default" w:ascii="Times New Roman" w:hAnsi="Times New Roman" w:eastAsia="新宋体" w:cs="Times New Roman"/>
                      <w:color w:val="000000"/>
                      <w:kern w:val="0"/>
                      <w:szCs w:val="21"/>
                      <w:highlight w:val="none"/>
                      <w:lang w:bidi="ar"/>
                    </w:rPr>
                    <w:t>产生量</w:t>
                  </w:r>
                  <w:r>
                    <w:rPr>
                      <w:rFonts w:hint="eastAsia" w:ascii="Times New Roman" w:hAnsi="Times New Roman" w:eastAsia="新宋体" w:cs="Times New Roman"/>
                      <w:color w:val="000000"/>
                      <w:kern w:val="0"/>
                      <w:szCs w:val="21"/>
                      <w:highlight w:val="none"/>
                      <w:lang w:eastAsia="zh-CN" w:bidi="ar"/>
                    </w:rPr>
                    <w:t>（</w:t>
                  </w:r>
                  <w:r>
                    <w:rPr>
                      <w:rFonts w:hint="default" w:ascii="Times New Roman" w:hAnsi="Times New Roman" w:eastAsia="新宋体" w:cs="Times New Roman"/>
                      <w:color w:val="000000"/>
                      <w:kern w:val="0"/>
                      <w:szCs w:val="21"/>
                      <w:highlight w:val="none"/>
                      <w:lang w:bidi="ar"/>
                    </w:rPr>
                    <w:t>t/a</w:t>
                  </w:r>
                  <w:r>
                    <w:rPr>
                      <w:rFonts w:hint="eastAsia" w:ascii="Times New Roman" w:hAnsi="Times New Roman" w:eastAsia="新宋体" w:cs="Times New Roman"/>
                      <w:color w:val="000000"/>
                      <w:kern w:val="0"/>
                      <w:szCs w:val="21"/>
                      <w:highlight w:val="none"/>
                      <w:lang w:eastAsia="zh-CN" w:bidi="ar"/>
                    </w:rPr>
                    <w:t>）</w:t>
                  </w:r>
                </w:p>
              </w:tc>
              <w:tc>
                <w:tcPr>
                  <w:tcW w:w="1017" w:type="dxa"/>
                  <w:noWrap w:val="0"/>
                  <w:vAlign w:val="center"/>
                </w:tcPr>
                <w:p w14:paraId="41199762">
                  <w:pPr>
                    <w:pStyle w:val="36"/>
                    <w:adjustRightInd/>
                    <w:snapToGrid/>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szCs w:val="21"/>
                      <w:highlight w:val="none"/>
                    </w:rPr>
                    <w:t>0.36</w:t>
                  </w:r>
                  <w:r>
                    <w:rPr>
                      <w:rFonts w:hint="default" w:ascii="Times New Roman" w:hAnsi="Times New Roman" w:eastAsia="宋体" w:cs="Times New Roman"/>
                      <w:szCs w:val="21"/>
                      <w:highlight w:val="none"/>
                      <w:lang w:val="en-US" w:eastAsia="zh-CN"/>
                    </w:rPr>
                    <w:t>1</w:t>
                  </w:r>
                </w:p>
              </w:tc>
              <w:tc>
                <w:tcPr>
                  <w:tcW w:w="1017" w:type="dxa"/>
                  <w:noWrap w:val="0"/>
                  <w:vAlign w:val="center"/>
                </w:tcPr>
                <w:p w14:paraId="5E03FEA3">
                  <w:pPr>
                    <w:pStyle w:val="36"/>
                    <w:adjustRightInd/>
                    <w:snapToGrid/>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szCs w:val="21"/>
                      <w:highlight w:val="none"/>
                    </w:rPr>
                    <w:t>0.</w:t>
                  </w:r>
                  <w:r>
                    <w:rPr>
                      <w:rFonts w:hint="eastAsia" w:ascii="Times New Roman" w:hAnsi="Times New Roman" w:eastAsia="宋体" w:cs="Times New Roman"/>
                      <w:szCs w:val="21"/>
                      <w:highlight w:val="none"/>
                      <w:lang w:val="en-US" w:eastAsia="zh-CN"/>
                    </w:rPr>
                    <w:t>127</w:t>
                  </w:r>
                </w:p>
              </w:tc>
              <w:tc>
                <w:tcPr>
                  <w:tcW w:w="1018" w:type="dxa"/>
                  <w:noWrap w:val="0"/>
                  <w:vAlign w:val="center"/>
                </w:tcPr>
                <w:p w14:paraId="19B911E0">
                  <w:pPr>
                    <w:pStyle w:val="36"/>
                    <w:adjustRightInd/>
                    <w:snapToGrid/>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szCs w:val="21"/>
                      <w:highlight w:val="none"/>
                    </w:rPr>
                    <w:t>0.21</w:t>
                  </w:r>
                  <w:r>
                    <w:rPr>
                      <w:rFonts w:hint="default" w:ascii="Times New Roman" w:hAnsi="Times New Roman" w:eastAsia="宋体" w:cs="Times New Roman"/>
                      <w:szCs w:val="21"/>
                      <w:highlight w:val="none"/>
                      <w:lang w:val="en-US" w:eastAsia="zh-CN"/>
                    </w:rPr>
                    <w:t>2</w:t>
                  </w:r>
                </w:p>
              </w:tc>
              <w:tc>
                <w:tcPr>
                  <w:tcW w:w="1027" w:type="dxa"/>
                  <w:noWrap w:val="0"/>
                  <w:vAlign w:val="center"/>
                </w:tcPr>
                <w:p w14:paraId="44C87072">
                  <w:pPr>
                    <w:pStyle w:val="36"/>
                    <w:adjustRightInd/>
                    <w:snapToGrid/>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szCs w:val="21"/>
                      <w:highlight w:val="none"/>
                    </w:rPr>
                    <w:t>0.035</w:t>
                  </w:r>
                </w:p>
              </w:tc>
            </w:tr>
            <w:tr w14:paraId="0EE0981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624" w:type="pct"/>
                  <w:vMerge w:val="continue"/>
                  <w:noWrap w:val="0"/>
                  <w:vAlign w:val="center"/>
                </w:tcPr>
                <w:p w14:paraId="3C9103CC">
                  <w:pPr>
                    <w:jc w:val="center"/>
                    <w:rPr>
                      <w:rFonts w:hint="default" w:ascii="Times New Roman" w:hAnsi="Times New Roman" w:eastAsia="新宋体" w:cs="Times New Roman"/>
                      <w:color w:val="000000"/>
                      <w:szCs w:val="21"/>
                      <w:highlight w:val="none"/>
                    </w:rPr>
                  </w:pPr>
                </w:p>
              </w:tc>
              <w:tc>
                <w:tcPr>
                  <w:tcW w:w="624" w:type="pct"/>
                  <w:vMerge w:val="restart"/>
                  <w:noWrap w:val="0"/>
                  <w:vAlign w:val="center"/>
                </w:tcPr>
                <w:p w14:paraId="4520B22B">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eastAsia="新宋体" w:cs="Times New Roman"/>
                      <w:color w:val="000000"/>
                      <w:kern w:val="0"/>
                      <w:szCs w:val="21"/>
                      <w:highlight w:val="none"/>
                      <w:lang w:bidi="ar"/>
                    </w:rPr>
                    <w:t>排放量</w:t>
                  </w:r>
                  <w:r>
                    <w:rPr>
                      <w:rStyle w:val="20"/>
                      <w:rFonts w:hint="default" w:ascii="Times New Roman" w:hAnsi="Times New Roman" w:cs="Times New Roman"/>
                      <w:kern w:val="0"/>
                      <w:szCs w:val="20"/>
                      <w:highlight w:val="none"/>
                    </w:rPr>
                    <w:t>（经化粪池处理）</w:t>
                  </w:r>
                </w:p>
              </w:tc>
              <w:tc>
                <w:tcPr>
                  <w:tcW w:w="624" w:type="pct"/>
                  <w:vMerge w:val="restart"/>
                  <w:noWrap w:val="0"/>
                  <w:vAlign w:val="center"/>
                </w:tcPr>
                <w:p w14:paraId="11EBB7BC">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szCs w:val="21"/>
                      <w:highlight w:val="none"/>
                      <w:lang w:val="en-US" w:eastAsia="zh-CN"/>
                    </w:rPr>
                    <w:t>1060.8</w:t>
                  </w:r>
                </w:p>
              </w:tc>
              <w:tc>
                <w:tcPr>
                  <w:tcW w:w="624" w:type="pct"/>
                  <w:noWrap w:val="0"/>
                  <w:vAlign w:val="center"/>
                </w:tcPr>
                <w:p w14:paraId="66264ACB">
                  <w:pPr>
                    <w:widowControl/>
                    <w:jc w:val="center"/>
                    <w:textAlignment w:val="center"/>
                    <w:rPr>
                      <w:rFonts w:hint="eastAsia" w:ascii="Times New Roman" w:hAnsi="Times New Roman" w:eastAsia="新宋体" w:cs="Times New Roman"/>
                      <w:color w:val="000000"/>
                      <w:szCs w:val="21"/>
                      <w:highlight w:val="none"/>
                      <w:lang w:eastAsia="zh-CN"/>
                    </w:rPr>
                  </w:pPr>
                  <w:r>
                    <w:rPr>
                      <w:rFonts w:hint="default" w:ascii="Times New Roman" w:hAnsi="Times New Roman" w:eastAsia="新宋体" w:cs="Times New Roman"/>
                      <w:color w:val="000000"/>
                      <w:kern w:val="0"/>
                      <w:szCs w:val="21"/>
                      <w:highlight w:val="none"/>
                      <w:lang w:bidi="ar"/>
                    </w:rPr>
                    <w:t>排放浓度</w:t>
                  </w:r>
                  <w:r>
                    <w:rPr>
                      <w:rFonts w:hint="eastAsia" w:ascii="Times New Roman" w:hAnsi="Times New Roman" w:eastAsia="新宋体" w:cs="Times New Roman"/>
                      <w:color w:val="000000"/>
                      <w:kern w:val="0"/>
                      <w:szCs w:val="21"/>
                      <w:highlight w:val="none"/>
                      <w:lang w:eastAsia="zh-CN" w:bidi="ar"/>
                    </w:rPr>
                    <w:t>（</w:t>
                  </w:r>
                  <w:r>
                    <w:rPr>
                      <w:rFonts w:hint="default" w:ascii="Times New Roman" w:hAnsi="Times New Roman" w:eastAsia="新宋体" w:cs="Times New Roman"/>
                      <w:color w:val="000000"/>
                      <w:kern w:val="0"/>
                      <w:szCs w:val="21"/>
                      <w:highlight w:val="none"/>
                      <w:lang w:bidi="ar"/>
                    </w:rPr>
                    <w:t>mg/L</w:t>
                  </w:r>
                  <w:r>
                    <w:rPr>
                      <w:rFonts w:hint="eastAsia" w:ascii="Times New Roman" w:hAnsi="Times New Roman" w:eastAsia="新宋体" w:cs="Times New Roman"/>
                      <w:color w:val="000000"/>
                      <w:kern w:val="0"/>
                      <w:szCs w:val="21"/>
                      <w:highlight w:val="none"/>
                      <w:lang w:eastAsia="zh-CN" w:bidi="ar"/>
                    </w:rPr>
                    <w:t>）</w:t>
                  </w:r>
                </w:p>
              </w:tc>
              <w:tc>
                <w:tcPr>
                  <w:tcW w:w="1018" w:type="dxa"/>
                  <w:noWrap w:val="0"/>
                  <w:vAlign w:val="center"/>
                </w:tcPr>
                <w:p w14:paraId="580567AF">
                  <w:pPr>
                    <w:pStyle w:val="36"/>
                    <w:adjustRightInd/>
                    <w:snapToGrid/>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szCs w:val="21"/>
                      <w:highlight w:val="none"/>
                      <w:lang w:val="en-US" w:eastAsia="zh-CN"/>
                    </w:rPr>
                    <w:t>153</w:t>
                  </w:r>
                </w:p>
              </w:tc>
              <w:tc>
                <w:tcPr>
                  <w:tcW w:w="1018" w:type="dxa"/>
                  <w:noWrap w:val="0"/>
                  <w:vAlign w:val="center"/>
                </w:tcPr>
                <w:p w14:paraId="6F472D28">
                  <w:pPr>
                    <w:pStyle w:val="36"/>
                    <w:adjustRightInd/>
                    <w:snapToGrid/>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szCs w:val="21"/>
                      <w:highlight w:val="none"/>
                      <w:lang w:val="en-US" w:eastAsia="zh-CN"/>
                    </w:rPr>
                    <w:t>60</w:t>
                  </w:r>
                </w:p>
              </w:tc>
              <w:tc>
                <w:tcPr>
                  <w:tcW w:w="1019" w:type="dxa"/>
                  <w:noWrap w:val="0"/>
                  <w:vAlign w:val="center"/>
                </w:tcPr>
                <w:p w14:paraId="4F8D5D55">
                  <w:pPr>
                    <w:pStyle w:val="36"/>
                    <w:adjustRightInd/>
                    <w:snapToGrid/>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szCs w:val="21"/>
                      <w:highlight w:val="none"/>
                      <w:lang w:val="en-US" w:eastAsia="zh-CN"/>
                    </w:rPr>
                    <w:t>80</w:t>
                  </w:r>
                </w:p>
              </w:tc>
              <w:tc>
                <w:tcPr>
                  <w:tcW w:w="1028" w:type="dxa"/>
                  <w:noWrap w:val="0"/>
                  <w:vAlign w:val="center"/>
                </w:tcPr>
                <w:p w14:paraId="439DB0DF">
                  <w:pPr>
                    <w:pStyle w:val="36"/>
                    <w:adjustRightInd/>
                    <w:snapToGrid/>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szCs w:val="21"/>
                      <w:highlight w:val="none"/>
                      <w:lang w:val="en-US" w:eastAsia="zh-CN"/>
                    </w:rPr>
                    <w:t>24.45</w:t>
                  </w:r>
                </w:p>
              </w:tc>
            </w:tr>
            <w:tr w14:paraId="10B43C9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24" w:type="pct"/>
                  <w:vMerge w:val="continue"/>
                  <w:noWrap w:val="0"/>
                  <w:vAlign w:val="center"/>
                </w:tcPr>
                <w:p w14:paraId="05131B42">
                  <w:pPr>
                    <w:jc w:val="center"/>
                    <w:rPr>
                      <w:rFonts w:hint="default" w:ascii="Times New Roman" w:hAnsi="Times New Roman" w:eastAsia="新宋体" w:cs="Times New Roman"/>
                      <w:color w:val="000000"/>
                      <w:szCs w:val="21"/>
                      <w:highlight w:val="none"/>
                    </w:rPr>
                  </w:pPr>
                </w:p>
              </w:tc>
              <w:tc>
                <w:tcPr>
                  <w:tcW w:w="624" w:type="pct"/>
                  <w:vMerge w:val="continue"/>
                  <w:noWrap w:val="0"/>
                  <w:vAlign w:val="center"/>
                </w:tcPr>
                <w:p w14:paraId="439FC09E">
                  <w:pPr>
                    <w:jc w:val="center"/>
                    <w:rPr>
                      <w:rFonts w:hint="default" w:ascii="Times New Roman" w:hAnsi="Times New Roman" w:eastAsia="新宋体" w:cs="Times New Roman"/>
                      <w:color w:val="000000"/>
                      <w:szCs w:val="21"/>
                      <w:highlight w:val="none"/>
                    </w:rPr>
                  </w:pPr>
                </w:p>
              </w:tc>
              <w:tc>
                <w:tcPr>
                  <w:tcW w:w="624" w:type="pct"/>
                  <w:vMerge w:val="continue"/>
                  <w:noWrap w:val="0"/>
                  <w:vAlign w:val="center"/>
                </w:tcPr>
                <w:p w14:paraId="065B676A">
                  <w:pPr>
                    <w:jc w:val="center"/>
                    <w:rPr>
                      <w:rFonts w:hint="default" w:ascii="Times New Roman" w:hAnsi="Times New Roman" w:cs="Times New Roman"/>
                      <w:color w:val="000000"/>
                      <w:szCs w:val="21"/>
                      <w:highlight w:val="none"/>
                    </w:rPr>
                  </w:pPr>
                </w:p>
              </w:tc>
              <w:tc>
                <w:tcPr>
                  <w:tcW w:w="624" w:type="pct"/>
                  <w:noWrap w:val="0"/>
                  <w:vAlign w:val="center"/>
                </w:tcPr>
                <w:p w14:paraId="3B24BA44">
                  <w:pPr>
                    <w:widowControl/>
                    <w:jc w:val="center"/>
                    <w:textAlignment w:val="center"/>
                    <w:rPr>
                      <w:rFonts w:hint="eastAsia" w:ascii="Times New Roman" w:hAnsi="Times New Roman" w:eastAsia="新宋体" w:cs="Times New Roman"/>
                      <w:color w:val="000000"/>
                      <w:szCs w:val="21"/>
                      <w:highlight w:val="none"/>
                      <w:lang w:eastAsia="zh-CN"/>
                    </w:rPr>
                  </w:pPr>
                  <w:r>
                    <w:rPr>
                      <w:rFonts w:hint="default" w:ascii="Times New Roman" w:hAnsi="Times New Roman" w:eastAsia="新宋体" w:cs="Times New Roman"/>
                      <w:color w:val="000000"/>
                      <w:kern w:val="0"/>
                      <w:szCs w:val="21"/>
                      <w:highlight w:val="none"/>
                      <w:lang w:bidi="ar"/>
                    </w:rPr>
                    <w:t>排放量</w:t>
                  </w:r>
                  <w:r>
                    <w:rPr>
                      <w:rFonts w:hint="eastAsia" w:ascii="Times New Roman" w:hAnsi="Times New Roman" w:eastAsia="新宋体" w:cs="Times New Roman"/>
                      <w:color w:val="000000"/>
                      <w:kern w:val="0"/>
                      <w:szCs w:val="21"/>
                      <w:highlight w:val="none"/>
                      <w:lang w:eastAsia="zh-CN" w:bidi="ar"/>
                    </w:rPr>
                    <w:t>（</w:t>
                  </w:r>
                  <w:r>
                    <w:rPr>
                      <w:rFonts w:hint="default" w:ascii="Times New Roman" w:hAnsi="Times New Roman" w:eastAsia="新宋体" w:cs="Times New Roman"/>
                      <w:color w:val="000000"/>
                      <w:kern w:val="0"/>
                      <w:szCs w:val="21"/>
                      <w:highlight w:val="none"/>
                      <w:lang w:bidi="ar"/>
                    </w:rPr>
                    <w:t>t/a</w:t>
                  </w:r>
                  <w:r>
                    <w:rPr>
                      <w:rFonts w:hint="eastAsia" w:ascii="Times New Roman" w:hAnsi="Times New Roman" w:eastAsia="新宋体" w:cs="Times New Roman"/>
                      <w:color w:val="000000"/>
                      <w:kern w:val="0"/>
                      <w:szCs w:val="21"/>
                      <w:highlight w:val="none"/>
                      <w:lang w:eastAsia="zh-CN" w:bidi="ar"/>
                    </w:rPr>
                    <w:t>）</w:t>
                  </w:r>
                </w:p>
              </w:tc>
              <w:tc>
                <w:tcPr>
                  <w:tcW w:w="624" w:type="pct"/>
                  <w:noWrap w:val="0"/>
                  <w:vAlign w:val="center"/>
                </w:tcPr>
                <w:p w14:paraId="77F2A49B">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0.</w:t>
                  </w:r>
                  <w:r>
                    <w:rPr>
                      <w:rFonts w:hint="eastAsia" w:ascii="Times New Roman" w:hAnsi="Times New Roman" w:cs="Times New Roman"/>
                      <w:color w:val="000000"/>
                      <w:szCs w:val="21"/>
                      <w:highlight w:val="none"/>
                      <w:lang w:val="en-US" w:eastAsia="zh-CN"/>
                    </w:rPr>
                    <w:t>162</w:t>
                  </w:r>
                </w:p>
              </w:tc>
              <w:tc>
                <w:tcPr>
                  <w:tcW w:w="624" w:type="pct"/>
                  <w:noWrap w:val="0"/>
                  <w:vAlign w:val="center"/>
                </w:tcPr>
                <w:p w14:paraId="0E29E721">
                  <w:pPr>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0.0635</w:t>
                  </w:r>
                </w:p>
              </w:tc>
              <w:tc>
                <w:tcPr>
                  <w:tcW w:w="624" w:type="pct"/>
                  <w:noWrap w:val="0"/>
                  <w:vAlign w:val="center"/>
                </w:tcPr>
                <w:p w14:paraId="63898554">
                  <w:pPr>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0.0848</w:t>
                  </w:r>
                </w:p>
              </w:tc>
              <w:tc>
                <w:tcPr>
                  <w:tcW w:w="628" w:type="pct"/>
                  <w:noWrap w:val="0"/>
                  <w:vAlign w:val="center"/>
                </w:tcPr>
                <w:p w14:paraId="0F150D97">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0.0</w:t>
                  </w:r>
                  <w:r>
                    <w:rPr>
                      <w:rFonts w:hint="eastAsia" w:ascii="Times New Roman" w:hAnsi="Times New Roman" w:cs="Times New Roman"/>
                      <w:color w:val="000000"/>
                      <w:szCs w:val="21"/>
                      <w:highlight w:val="none"/>
                      <w:lang w:val="en-US" w:eastAsia="zh-CN"/>
                    </w:rPr>
                    <w:t>263</w:t>
                  </w:r>
                </w:p>
              </w:tc>
            </w:tr>
            <w:tr w14:paraId="7F66FB2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24" w:type="pct"/>
                  <w:vMerge w:val="continue"/>
                  <w:noWrap w:val="0"/>
                  <w:vAlign w:val="center"/>
                </w:tcPr>
                <w:p w14:paraId="7C277B94">
                  <w:pPr>
                    <w:jc w:val="center"/>
                    <w:rPr>
                      <w:rFonts w:hint="default" w:ascii="Times New Roman" w:hAnsi="Times New Roman" w:eastAsia="新宋体" w:cs="Times New Roman"/>
                      <w:color w:val="000000"/>
                      <w:szCs w:val="21"/>
                      <w:highlight w:val="none"/>
                    </w:rPr>
                  </w:pPr>
                </w:p>
              </w:tc>
              <w:tc>
                <w:tcPr>
                  <w:tcW w:w="624" w:type="pct"/>
                  <w:vMerge w:val="restart"/>
                  <w:noWrap w:val="0"/>
                  <w:vAlign w:val="center"/>
                </w:tcPr>
                <w:p w14:paraId="4B574B74">
                  <w:pPr>
                    <w:jc w:val="center"/>
                    <w:rPr>
                      <w:rFonts w:hint="default" w:ascii="Times New Roman" w:hAnsi="Times New Roman" w:eastAsia="新宋体" w:cs="Times New Roman"/>
                      <w:color w:val="000000"/>
                      <w:szCs w:val="21"/>
                      <w:highlight w:val="none"/>
                    </w:rPr>
                  </w:pPr>
                  <w:r>
                    <w:rPr>
                      <w:rFonts w:hint="default" w:ascii="Times New Roman" w:hAnsi="Times New Roman" w:eastAsia="新宋体" w:cs="Times New Roman"/>
                      <w:color w:val="000000"/>
                      <w:kern w:val="0"/>
                      <w:szCs w:val="21"/>
                      <w:highlight w:val="none"/>
                      <w:lang w:bidi="ar"/>
                    </w:rPr>
                    <w:t>排放量（经</w:t>
                  </w:r>
                  <w:r>
                    <w:rPr>
                      <w:rFonts w:hint="eastAsia" w:ascii="Times New Roman" w:hAnsi="Times New Roman" w:eastAsia="新宋体" w:cs="Times New Roman"/>
                      <w:color w:val="000000"/>
                      <w:kern w:val="0"/>
                      <w:szCs w:val="21"/>
                      <w:highlight w:val="none"/>
                      <w:lang w:val="en-US" w:eastAsia="zh-CN" w:bidi="ar"/>
                    </w:rPr>
                    <w:t>蓬壶镇</w:t>
                  </w:r>
                  <w:r>
                    <w:rPr>
                      <w:rFonts w:hint="default" w:ascii="Times New Roman" w:hAnsi="Times New Roman" w:eastAsia="新宋体" w:cs="Times New Roman"/>
                      <w:color w:val="000000"/>
                      <w:kern w:val="0"/>
                      <w:szCs w:val="21"/>
                      <w:highlight w:val="none"/>
                      <w:lang w:bidi="ar"/>
                    </w:rPr>
                    <w:t>污水厂处理）</w:t>
                  </w:r>
                </w:p>
              </w:tc>
              <w:tc>
                <w:tcPr>
                  <w:tcW w:w="624" w:type="pct"/>
                  <w:vMerge w:val="restart"/>
                  <w:noWrap w:val="0"/>
                  <w:vAlign w:val="center"/>
                </w:tcPr>
                <w:p w14:paraId="6412E4A5">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szCs w:val="21"/>
                      <w:highlight w:val="none"/>
                      <w:lang w:val="en-US" w:eastAsia="zh-CN"/>
                    </w:rPr>
                    <w:t>1060.8</w:t>
                  </w:r>
                </w:p>
              </w:tc>
              <w:tc>
                <w:tcPr>
                  <w:tcW w:w="624" w:type="pct"/>
                  <w:noWrap w:val="0"/>
                  <w:vAlign w:val="center"/>
                </w:tcPr>
                <w:p w14:paraId="34CD0F01">
                  <w:pPr>
                    <w:widowControl/>
                    <w:jc w:val="center"/>
                    <w:textAlignment w:val="center"/>
                    <w:rPr>
                      <w:rFonts w:hint="eastAsia" w:ascii="Times New Roman" w:hAnsi="Times New Roman" w:eastAsia="新宋体" w:cs="Times New Roman"/>
                      <w:color w:val="000000"/>
                      <w:kern w:val="0"/>
                      <w:szCs w:val="21"/>
                      <w:highlight w:val="none"/>
                      <w:lang w:eastAsia="zh-CN" w:bidi="ar"/>
                    </w:rPr>
                  </w:pPr>
                  <w:r>
                    <w:rPr>
                      <w:rFonts w:hint="default" w:ascii="Times New Roman" w:hAnsi="Times New Roman" w:eastAsia="新宋体" w:cs="Times New Roman"/>
                      <w:color w:val="000000"/>
                      <w:kern w:val="0"/>
                      <w:szCs w:val="21"/>
                      <w:highlight w:val="none"/>
                      <w:lang w:bidi="ar"/>
                    </w:rPr>
                    <w:t>排放浓度</w:t>
                  </w:r>
                  <w:r>
                    <w:rPr>
                      <w:rFonts w:hint="eastAsia" w:ascii="Times New Roman" w:hAnsi="Times New Roman" w:eastAsia="新宋体" w:cs="Times New Roman"/>
                      <w:color w:val="000000"/>
                      <w:kern w:val="0"/>
                      <w:szCs w:val="21"/>
                      <w:highlight w:val="none"/>
                      <w:lang w:eastAsia="zh-CN" w:bidi="ar"/>
                    </w:rPr>
                    <w:t>（</w:t>
                  </w:r>
                  <w:r>
                    <w:rPr>
                      <w:rFonts w:hint="default" w:ascii="Times New Roman" w:hAnsi="Times New Roman" w:eastAsia="新宋体" w:cs="Times New Roman"/>
                      <w:color w:val="000000"/>
                      <w:kern w:val="0"/>
                      <w:szCs w:val="21"/>
                      <w:highlight w:val="none"/>
                      <w:lang w:bidi="ar"/>
                    </w:rPr>
                    <w:t>mg/L</w:t>
                  </w:r>
                  <w:r>
                    <w:rPr>
                      <w:rFonts w:hint="eastAsia" w:ascii="Times New Roman" w:hAnsi="Times New Roman" w:eastAsia="新宋体" w:cs="Times New Roman"/>
                      <w:color w:val="000000"/>
                      <w:kern w:val="0"/>
                      <w:szCs w:val="21"/>
                      <w:highlight w:val="none"/>
                      <w:lang w:eastAsia="zh-CN" w:bidi="ar"/>
                    </w:rPr>
                    <w:t>）</w:t>
                  </w:r>
                </w:p>
              </w:tc>
              <w:tc>
                <w:tcPr>
                  <w:tcW w:w="624" w:type="pct"/>
                  <w:noWrap w:val="0"/>
                  <w:vAlign w:val="center"/>
                </w:tcPr>
                <w:p w14:paraId="1BA3DA5E">
                  <w:pPr>
                    <w:jc w:val="center"/>
                    <w:rPr>
                      <w:rFonts w:hint="default" w:ascii="Times New Roman" w:hAnsi="Times New Roman" w:cs="Times New Roman"/>
                      <w:highlight w:val="none"/>
                    </w:rPr>
                  </w:pPr>
                  <w:r>
                    <w:rPr>
                      <w:rFonts w:hint="default" w:ascii="Times New Roman" w:hAnsi="Times New Roman" w:cs="Times New Roman"/>
                      <w:highlight w:val="none"/>
                    </w:rPr>
                    <w:t>50</w:t>
                  </w:r>
                </w:p>
              </w:tc>
              <w:tc>
                <w:tcPr>
                  <w:tcW w:w="624" w:type="pct"/>
                  <w:noWrap w:val="0"/>
                  <w:vAlign w:val="center"/>
                </w:tcPr>
                <w:p w14:paraId="4FBD8E18">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10</w:t>
                  </w:r>
                </w:p>
              </w:tc>
              <w:tc>
                <w:tcPr>
                  <w:tcW w:w="624" w:type="pct"/>
                  <w:noWrap w:val="0"/>
                  <w:vAlign w:val="center"/>
                </w:tcPr>
                <w:p w14:paraId="626721AE">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10</w:t>
                  </w:r>
                </w:p>
              </w:tc>
              <w:tc>
                <w:tcPr>
                  <w:tcW w:w="628" w:type="pct"/>
                  <w:noWrap w:val="0"/>
                  <w:vAlign w:val="center"/>
                </w:tcPr>
                <w:p w14:paraId="58E9F797">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5</w:t>
                  </w:r>
                </w:p>
              </w:tc>
            </w:tr>
            <w:tr w14:paraId="431A08A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24" w:type="pct"/>
                  <w:vMerge w:val="continue"/>
                  <w:noWrap w:val="0"/>
                  <w:vAlign w:val="center"/>
                </w:tcPr>
                <w:p w14:paraId="2E1C8319">
                  <w:pPr>
                    <w:jc w:val="center"/>
                    <w:rPr>
                      <w:rFonts w:hint="default" w:ascii="Times New Roman" w:hAnsi="Times New Roman" w:eastAsia="新宋体" w:cs="Times New Roman"/>
                      <w:color w:val="000000"/>
                      <w:szCs w:val="21"/>
                      <w:highlight w:val="none"/>
                    </w:rPr>
                  </w:pPr>
                </w:p>
              </w:tc>
              <w:tc>
                <w:tcPr>
                  <w:tcW w:w="624" w:type="pct"/>
                  <w:vMerge w:val="continue"/>
                  <w:noWrap w:val="0"/>
                  <w:vAlign w:val="center"/>
                </w:tcPr>
                <w:p w14:paraId="5C3515E8">
                  <w:pPr>
                    <w:jc w:val="center"/>
                    <w:rPr>
                      <w:rFonts w:hint="default" w:ascii="Times New Roman" w:hAnsi="Times New Roman" w:eastAsia="新宋体" w:cs="Times New Roman"/>
                      <w:color w:val="000000"/>
                      <w:kern w:val="0"/>
                      <w:szCs w:val="21"/>
                      <w:highlight w:val="none"/>
                      <w:lang w:bidi="ar"/>
                    </w:rPr>
                  </w:pPr>
                </w:p>
              </w:tc>
              <w:tc>
                <w:tcPr>
                  <w:tcW w:w="624" w:type="pct"/>
                  <w:vMerge w:val="continue"/>
                  <w:noWrap w:val="0"/>
                  <w:vAlign w:val="center"/>
                </w:tcPr>
                <w:p w14:paraId="7977AAD5">
                  <w:pPr>
                    <w:jc w:val="center"/>
                    <w:rPr>
                      <w:rFonts w:hint="default" w:ascii="Times New Roman" w:hAnsi="Times New Roman" w:cs="Times New Roman"/>
                      <w:szCs w:val="21"/>
                      <w:highlight w:val="none"/>
                    </w:rPr>
                  </w:pPr>
                </w:p>
              </w:tc>
              <w:tc>
                <w:tcPr>
                  <w:tcW w:w="624" w:type="pct"/>
                  <w:noWrap w:val="0"/>
                  <w:vAlign w:val="center"/>
                </w:tcPr>
                <w:p w14:paraId="4331F1FD">
                  <w:pPr>
                    <w:widowControl/>
                    <w:jc w:val="center"/>
                    <w:textAlignment w:val="center"/>
                    <w:rPr>
                      <w:rFonts w:hint="eastAsia" w:ascii="Times New Roman" w:hAnsi="Times New Roman" w:eastAsia="新宋体" w:cs="Times New Roman"/>
                      <w:color w:val="000000"/>
                      <w:kern w:val="0"/>
                      <w:szCs w:val="21"/>
                      <w:highlight w:val="none"/>
                      <w:lang w:eastAsia="zh-CN" w:bidi="ar"/>
                    </w:rPr>
                  </w:pPr>
                  <w:r>
                    <w:rPr>
                      <w:rFonts w:hint="default" w:ascii="Times New Roman" w:hAnsi="Times New Roman" w:eastAsia="新宋体" w:cs="Times New Roman"/>
                      <w:color w:val="000000"/>
                      <w:kern w:val="0"/>
                      <w:szCs w:val="21"/>
                      <w:highlight w:val="none"/>
                      <w:lang w:bidi="ar"/>
                    </w:rPr>
                    <w:t>排放量</w:t>
                  </w:r>
                  <w:r>
                    <w:rPr>
                      <w:rFonts w:hint="eastAsia" w:ascii="Times New Roman" w:hAnsi="Times New Roman" w:eastAsia="新宋体" w:cs="Times New Roman"/>
                      <w:color w:val="000000"/>
                      <w:kern w:val="0"/>
                      <w:szCs w:val="21"/>
                      <w:highlight w:val="none"/>
                      <w:lang w:eastAsia="zh-CN" w:bidi="ar"/>
                    </w:rPr>
                    <w:t>（</w:t>
                  </w:r>
                  <w:r>
                    <w:rPr>
                      <w:rFonts w:hint="default" w:ascii="Times New Roman" w:hAnsi="Times New Roman" w:eastAsia="新宋体" w:cs="Times New Roman"/>
                      <w:color w:val="000000"/>
                      <w:kern w:val="0"/>
                      <w:szCs w:val="21"/>
                      <w:highlight w:val="none"/>
                      <w:lang w:bidi="ar"/>
                    </w:rPr>
                    <w:t>t/a</w:t>
                  </w:r>
                  <w:r>
                    <w:rPr>
                      <w:rFonts w:hint="eastAsia" w:ascii="Times New Roman" w:hAnsi="Times New Roman" w:eastAsia="新宋体" w:cs="Times New Roman"/>
                      <w:color w:val="000000"/>
                      <w:kern w:val="0"/>
                      <w:szCs w:val="21"/>
                      <w:highlight w:val="none"/>
                      <w:lang w:eastAsia="zh-CN" w:bidi="ar"/>
                    </w:rPr>
                    <w:t>）</w:t>
                  </w:r>
                </w:p>
              </w:tc>
              <w:tc>
                <w:tcPr>
                  <w:tcW w:w="624" w:type="pct"/>
                  <w:noWrap w:val="0"/>
                  <w:vAlign w:val="center"/>
                </w:tcPr>
                <w:p w14:paraId="0DCE732F">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0.053</w:t>
                  </w:r>
                </w:p>
              </w:tc>
              <w:tc>
                <w:tcPr>
                  <w:tcW w:w="624" w:type="pct"/>
                  <w:noWrap w:val="0"/>
                  <w:vAlign w:val="center"/>
                </w:tcPr>
                <w:p w14:paraId="19C562F7">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0.0106</w:t>
                  </w:r>
                </w:p>
              </w:tc>
              <w:tc>
                <w:tcPr>
                  <w:tcW w:w="624" w:type="pct"/>
                  <w:noWrap w:val="0"/>
                  <w:vAlign w:val="center"/>
                </w:tcPr>
                <w:p w14:paraId="2A9FCCBF">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0.0106</w:t>
                  </w:r>
                </w:p>
              </w:tc>
              <w:tc>
                <w:tcPr>
                  <w:tcW w:w="628" w:type="pct"/>
                  <w:noWrap w:val="0"/>
                  <w:vAlign w:val="center"/>
                </w:tcPr>
                <w:p w14:paraId="03E5EB5A">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0.0053</w:t>
                  </w:r>
                  <w:r>
                    <w:rPr>
                      <w:rFonts w:hint="eastAsia" w:ascii="Times New Roman" w:hAnsi="Times New Roman" w:cs="Times New Roman"/>
                      <w:color w:val="000000"/>
                      <w:szCs w:val="21"/>
                      <w:highlight w:val="none"/>
                      <w:lang w:val="en-US" w:eastAsia="zh-CN"/>
                    </w:rPr>
                    <w:t>7</w:t>
                  </w:r>
                </w:p>
              </w:tc>
            </w:tr>
          </w:tbl>
          <w:p w14:paraId="0C645BAD">
            <w:pPr>
              <w:spacing w:line="360" w:lineRule="auto"/>
              <w:jc w:val="both"/>
              <w:rPr>
                <w:rFonts w:hint="default" w:ascii="Times New Roman" w:hAnsi="Times New Roman" w:eastAsia="宋体" w:cs="Times New Roman"/>
                <w:b/>
                <w:bCs w:val="0"/>
                <w:sz w:val="24"/>
                <w:highlight w:val="none"/>
                <w:lang w:val="en-US" w:eastAsia="zh-CN"/>
              </w:rPr>
            </w:pPr>
            <w:r>
              <w:rPr>
                <w:rFonts w:hint="default" w:ascii="Times New Roman" w:hAnsi="Times New Roman" w:eastAsia="宋体" w:cs="Times New Roman"/>
                <w:b/>
                <w:bCs w:val="0"/>
                <w:sz w:val="24"/>
                <w:highlight w:val="none"/>
                <w:lang w:val="en-US" w:eastAsia="zh-CN"/>
              </w:rPr>
              <w:t>4.1.2 运营期水环境影响</w:t>
            </w:r>
          </w:p>
          <w:p w14:paraId="65F6A51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bCs/>
                <w:sz w:val="24"/>
                <w:highlight w:val="none"/>
                <w:lang w:val="en-US" w:eastAsia="zh-CN"/>
              </w:rPr>
              <w:t>项目周边市政污水管网建设完善，生活污水</w:t>
            </w:r>
            <w:r>
              <w:rPr>
                <w:rFonts w:hint="eastAsia" w:ascii="Times New Roman" w:hAnsi="Times New Roman" w:eastAsia="宋体" w:cs="Times New Roman"/>
                <w:bCs/>
                <w:sz w:val="24"/>
                <w:highlight w:val="none"/>
                <w:lang w:val="en-US" w:eastAsia="zh-CN"/>
              </w:rPr>
              <w:t>依托出租方化粪池</w:t>
            </w:r>
            <w:r>
              <w:rPr>
                <w:rFonts w:hint="default" w:ascii="Times New Roman" w:hAnsi="Times New Roman" w:eastAsia="宋体" w:cs="Times New Roman"/>
                <w:bCs/>
                <w:sz w:val="24"/>
                <w:highlight w:val="none"/>
                <w:lang w:val="en-US" w:eastAsia="zh-CN"/>
              </w:rPr>
              <w:t>处理达《污水综合排放标准》（</w:t>
            </w:r>
            <w:r>
              <w:rPr>
                <w:rFonts w:hint="eastAsia" w:ascii="Times New Roman" w:hAnsi="Times New Roman" w:eastAsia="宋体" w:cs="Times New Roman"/>
                <w:bCs/>
                <w:sz w:val="24"/>
                <w:highlight w:val="none"/>
                <w:lang w:val="en-US" w:eastAsia="zh-CN"/>
              </w:rPr>
              <w:t>GB 8978-1996</w:t>
            </w:r>
            <w:r>
              <w:rPr>
                <w:rFonts w:hint="default" w:ascii="Times New Roman" w:hAnsi="Times New Roman" w:eastAsia="宋体" w:cs="Times New Roman"/>
                <w:bCs/>
                <w:sz w:val="24"/>
                <w:highlight w:val="none"/>
                <w:lang w:val="en-US" w:eastAsia="zh-CN"/>
              </w:rPr>
              <w:t>）表4三级标准及《污水排入城镇下水道水质标准》（</w:t>
            </w:r>
            <w:r>
              <w:rPr>
                <w:rFonts w:hint="eastAsia" w:ascii="Times New Roman" w:hAnsi="Times New Roman" w:eastAsia="宋体" w:cs="Times New Roman"/>
                <w:bCs/>
                <w:sz w:val="24"/>
                <w:highlight w:val="none"/>
                <w:lang w:val="en-US" w:eastAsia="zh-CN"/>
              </w:rPr>
              <w:t>GB/T  31962-2015</w:t>
            </w:r>
            <w:r>
              <w:rPr>
                <w:rFonts w:hint="default" w:ascii="Times New Roman" w:hAnsi="Times New Roman" w:eastAsia="宋体" w:cs="Times New Roman"/>
                <w:bCs/>
                <w:sz w:val="24"/>
                <w:highlight w:val="none"/>
                <w:lang w:val="en-US" w:eastAsia="zh-CN"/>
              </w:rPr>
              <w:t>）表1中的B</w:t>
            </w:r>
            <w:r>
              <w:rPr>
                <w:rFonts w:hint="eastAsia" w:ascii="Times New Roman" w:hAnsi="Times New Roman" w:eastAsia="宋体" w:cs="Times New Roman"/>
                <w:bCs/>
                <w:sz w:val="24"/>
                <w:highlight w:val="none"/>
                <w:lang w:val="en-US" w:eastAsia="zh-CN"/>
              </w:rPr>
              <w:t>等</w:t>
            </w:r>
            <w:r>
              <w:rPr>
                <w:rFonts w:hint="default" w:ascii="Times New Roman" w:hAnsi="Times New Roman" w:eastAsia="宋体" w:cs="Times New Roman"/>
                <w:bCs/>
                <w:sz w:val="24"/>
                <w:highlight w:val="none"/>
                <w:lang w:val="en-US" w:eastAsia="zh-CN"/>
              </w:rPr>
              <w:t>级标准（从严）后，通过市政污水管网纳入</w:t>
            </w:r>
            <w:r>
              <w:rPr>
                <w:rFonts w:hint="eastAsia" w:ascii="Times New Roman" w:hAnsi="Times New Roman" w:eastAsia="宋体" w:cs="Times New Roman"/>
                <w:bCs/>
                <w:sz w:val="24"/>
                <w:highlight w:val="none"/>
                <w:lang w:val="en-US" w:eastAsia="zh-CN"/>
              </w:rPr>
              <w:t>蓬壶镇污水处理厂</w:t>
            </w:r>
            <w:r>
              <w:rPr>
                <w:rFonts w:hint="default" w:ascii="Times New Roman" w:hAnsi="Times New Roman" w:eastAsia="宋体" w:cs="Times New Roman"/>
                <w:bCs/>
                <w:sz w:val="24"/>
                <w:highlight w:val="none"/>
                <w:lang w:val="en-US" w:eastAsia="zh-CN"/>
              </w:rPr>
              <w:t>集中处理，对当地水环境的影响较小。</w:t>
            </w:r>
          </w:p>
          <w:p w14:paraId="54253062">
            <w:pPr>
              <w:spacing w:line="360" w:lineRule="auto"/>
              <w:jc w:val="both"/>
              <w:rPr>
                <w:rFonts w:hint="default" w:ascii="Times New Roman" w:hAnsi="Times New Roman" w:eastAsia="宋体" w:cs="Times New Roman"/>
                <w:b/>
                <w:bCs w:val="0"/>
                <w:sz w:val="24"/>
                <w:highlight w:val="none"/>
                <w:lang w:val="en-US" w:eastAsia="zh-CN"/>
              </w:rPr>
            </w:pPr>
            <w:r>
              <w:rPr>
                <w:rFonts w:hint="default" w:ascii="Times New Roman" w:hAnsi="Times New Roman" w:eastAsia="宋体" w:cs="Times New Roman"/>
                <w:b/>
                <w:bCs w:val="0"/>
                <w:sz w:val="24"/>
                <w:highlight w:val="none"/>
                <w:lang w:val="en-US" w:eastAsia="zh-CN"/>
              </w:rPr>
              <w:t>4.1.3 运营期废水治理措施</w:t>
            </w:r>
          </w:p>
          <w:p w14:paraId="435CD11F">
            <w:pPr>
              <w:spacing w:line="360" w:lineRule="auto"/>
              <w:ind w:firstLine="480" w:firstLineChars="200"/>
              <w:jc w:val="both"/>
              <w:rPr>
                <w:rFonts w:hint="default" w:ascii="Times New Roman" w:hAnsi="Times New Roman" w:cs="Times New Roman"/>
                <w:b w:val="0"/>
                <w:bCs w:val="0"/>
                <w:color w:val="000000"/>
                <w:sz w:val="24"/>
                <w:szCs w:val="24"/>
                <w:highlight w:val="none"/>
              </w:rPr>
            </w:pPr>
            <w:r>
              <w:rPr>
                <w:rFonts w:hint="default" w:ascii="Times New Roman" w:hAnsi="Times New Roman" w:eastAsia="宋体" w:cs="Times New Roman"/>
                <w:bCs/>
                <w:sz w:val="24"/>
                <w:highlight w:val="none"/>
                <w:lang w:val="en-US" w:eastAsia="zh-CN"/>
              </w:rPr>
              <w:t>本项目外排污水为职工</w:t>
            </w:r>
            <w:r>
              <w:rPr>
                <w:rFonts w:hint="eastAsia" w:ascii="Times New Roman" w:hAnsi="Times New Roman" w:eastAsia="宋体" w:cs="Times New Roman"/>
                <w:bCs/>
                <w:sz w:val="24"/>
                <w:highlight w:val="none"/>
                <w:lang w:val="en-US" w:eastAsia="zh-CN"/>
              </w:rPr>
              <w:t>生活污水</w:t>
            </w:r>
            <w:r>
              <w:rPr>
                <w:rFonts w:hint="default" w:ascii="Times New Roman" w:hAnsi="Times New Roman" w:eastAsia="宋体" w:cs="Times New Roman"/>
                <w:bCs/>
                <w:sz w:val="24"/>
                <w:highlight w:val="none"/>
                <w:lang w:val="en-US" w:eastAsia="zh-CN"/>
              </w:rPr>
              <w:t>，排放量约为</w:t>
            </w:r>
            <w:r>
              <w:rPr>
                <w:rFonts w:hint="eastAsia" w:ascii="Times New Roman" w:hAnsi="Times New Roman" w:eastAsia="宋体" w:cs="Times New Roman"/>
                <w:bCs/>
                <w:sz w:val="24"/>
                <w:highlight w:val="none"/>
                <w:lang w:val="en-US" w:eastAsia="zh-CN"/>
              </w:rPr>
              <w:t>3.4t/d</w:t>
            </w:r>
            <w:r>
              <w:rPr>
                <w:rFonts w:hint="default" w:ascii="Times New Roman" w:hAnsi="Times New Roman" w:eastAsia="宋体" w:cs="Times New Roman"/>
                <w:bCs/>
                <w:sz w:val="24"/>
                <w:highlight w:val="none"/>
                <w:lang w:val="en-US" w:eastAsia="zh-CN"/>
              </w:rPr>
              <w:t>。</w:t>
            </w:r>
            <w:r>
              <w:rPr>
                <w:rFonts w:hint="default" w:ascii="Times New Roman" w:hAnsi="Times New Roman" w:cs="Times New Roman"/>
                <w:bCs/>
                <w:color w:val="000000"/>
                <w:sz w:val="24"/>
                <w:highlight w:val="none"/>
              </w:rPr>
              <w:t>项目废水治理设施基本情况详见表4</w:t>
            </w:r>
            <w:r>
              <w:rPr>
                <w:rFonts w:hint="eastAsia" w:ascii="Times New Roman" w:hAnsi="Times New Roman" w:eastAsia="宋体" w:cs="Times New Roman"/>
                <w:bCs/>
                <w:color w:val="000000"/>
                <w:sz w:val="24"/>
                <w:highlight w:val="none"/>
                <w:lang w:val="en-US" w:eastAsia="zh-CN"/>
              </w:rPr>
              <w:t>.1-2</w:t>
            </w:r>
            <w:r>
              <w:rPr>
                <w:rFonts w:hint="default" w:ascii="Times New Roman" w:hAnsi="Times New Roman" w:cs="Times New Roman"/>
                <w:bCs/>
                <w:color w:val="000000"/>
                <w:sz w:val="24"/>
                <w:highlight w:val="none"/>
              </w:rPr>
              <w:t>；项目生活污水经处理后</w:t>
            </w:r>
            <w:r>
              <w:rPr>
                <w:rFonts w:hint="default" w:ascii="Times New Roman" w:hAnsi="Times New Roman" w:cs="Times New Roman"/>
                <w:sz w:val="24"/>
                <w:highlight w:val="none"/>
              </w:rPr>
              <w:t>纳入市政污水管网</w:t>
            </w: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项目区域</w:t>
            </w:r>
            <w:r>
              <w:rPr>
                <w:rFonts w:hint="default" w:ascii="Times New Roman" w:hAnsi="Times New Roman" w:cs="Times New Roman"/>
                <w:sz w:val="24"/>
                <w:highlight w:val="none"/>
              </w:rPr>
              <w:t>设置1个废水排放口，</w:t>
            </w:r>
            <w:r>
              <w:rPr>
                <w:rFonts w:hint="default" w:ascii="Times New Roman" w:hAnsi="Times New Roman" w:cs="Times New Roman"/>
                <w:bCs/>
                <w:color w:val="000000"/>
                <w:sz w:val="24"/>
                <w:highlight w:val="none"/>
              </w:rPr>
              <w:t>项目废水排放口基本情况、排放标准详见表</w:t>
            </w:r>
            <w:r>
              <w:rPr>
                <w:rFonts w:hint="default" w:ascii="Times New Roman" w:hAnsi="Times New Roman" w:eastAsia="宋体" w:cs="Times New Roman"/>
                <w:bCs/>
                <w:color w:val="000000"/>
                <w:sz w:val="24"/>
                <w:highlight w:val="none"/>
                <w:lang w:val="en-US" w:eastAsia="zh-CN"/>
              </w:rPr>
              <w:t>4</w:t>
            </w:r>
            <w:r>
              <w:rPr>
                <w:rFonts w:hint="eastAsia" w:ascii="Times New Roman" w:hAnsi="Times New Roman" w:eastAsia="宋体" w:cs="Times New Roman"/>
                <w:bCs/>
                <w:color w:val="000000"/>
                <w:sz w:val="24"/>
                <w:highlight w:val="none"/>
                <w:lang w:val="en-US" w:eastAsia="zh-CN"/>
              </w:rPr>
              <w:t>.1-3</w:t>
            </w:r>
            <w:r>
              <w:rPr>
                <w:rFonts w:hint="default" w:ascii="Times New Roman" w:hAnsi="Times New Roman" w:cs="Times New Roman"/>
                <w:bCs/>
                <w:color w:val="000000"/>
                <w:sz w:val="24"/>
                <w:highlight w:val="none"/>
              </w:rPr>
              <w:t>。</w:t>
            </w:r>
          </w:p>
          <w:p w14:paraId="3F4D7EDE">
            <w:pPr>
              <w:jc w:val="center"/>
              <w:rPr>
                <w:rFonts w:hint="default" w:ascii="Times New Roman" w:hAnsi="Times New Roman" w:eastAsia="宋体" w:cs="Times New Roman"/>
                <w:b/>
                <w:sz w:val="24"/>
                <w:highlight w:val="none"/>
                <w:lang w:val="en-US" w:eastAsia="zh-CN"/>
              </w:rPr>
            </w:pPr>
            <w:r>
              <w:rPr>
                <w:rFonts w:hint="default" w:ascii="Times New Roman" w:hAnsi="Times New Roman" w:eastAsia="宋体" w:cs="Times New Roman"/>
                <w:b/>
                <w:sz w:val="24"/>
                <w:highlight w:val="none"/>
                <w:lang w:val="en-US" w:eastAsia="zh-CN"/>
              </w:rPr>
              <w:t>表4</w:t>
            </w:r>
            <w:r>
              <w:rPr>
                <w:rFonts w:hint="eastAsia" w:ascii="Times New Roman" w:hAnsi="Times New Roman" w:eastAsia="宋体" w:cs="Times New Roman"/>
                <w:b/>
                <w:sz w:val="24"/>
                <w:highlight w:val="none"/>
                <w:lang w:val="en-US" w:eastAsia="zh-CN"/>
              </w:rPr>
              <w:t>.1-2</w:t>
            </w:r>
            <w:r>
              <w:rPr>
                <w:rFonts w:hint="default" w:ascii="Times New Roman" w:hAnsi="Times New Roman" w:eastAsia="宋体" w:cs="Times New Roman"/>
                <w:b/>
                <w:sz w:val="24"/>
                <w:highlight w:val="none"/>
                <w:lang w:val="en-US" w:eastAsia="zh-CN"/>
              </w:rPr>
              <w:t xml:space="preserve"> 项目废水治理设施基本情况一览表</w:t>
            </w:r>
          </w:p>
          <w:tbl>
            <w:tblPr>
              <w:tblStyle w:val="17"/>
              <w:tblW w:w="81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573"/>
              <w:gridCol w:w="947"/>
              <w:gridCol w:w="667"/>
              <w:gridCol w:w="906"/>
              <w:gridCol w:w="827"/>
              <w:gridCol w:w="720"/>
              <w:gridCol w:w="853"/>
              <w:gridCol w:w="827"/>
              <w:gridCol w:w="1071"/>
            </w:tblGrid>
            <w:tr w14:paraId="390A5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vMerge w:val="restart"/>
                  <w:noWrap/>
                  <w:vAlign w:val="center"/>
                </w:tcPr>
                <w:p w14:paraId="4D112784">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产排污环节</w:t>
                  </w:r>
                </w:p>
              </w:tc>
              <w:tc>
                <w:tcPr>
                  <w:tcW w:w="573" w:type="dxa"/>
                  <w:vMerge w:val="restart"/>
                  <w:noWrap/>
                  <w:vAlign w:val="center"/>
                </w:tcPr>
                <w:p w14:paraId="054146FB">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类别</w:t>
                  </w:r>
                </w:p>
              </w:tc>
              <w:tc>
                <w:tcPr>
                  <w:tcW w:w="947" w:type="dxa"/>
                  <w:vMerge w:val="restart"/>
                  <w:noWrap/>
                  <w:vAlign w:val="center"/>
                </w:tcPr>
                <w:p w14:paraId="734815FA">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污染物种类</w:t>
                  </w:r>
                </w:p>
              </w:tc>
              <w:tc>
                <w:tcPr>
                  <w:tcW w:w="667" w:type="dxa"/>
                  <w:vMerge w:val="restart"/>
                  <w:noWrap/>
                  <w:vAlign w:val="center"/>
                </w:tcPr>
                <w:p w14:paraId="469F485A">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排放方式</w:t>
                  </w:r>
                </w:p>
              </w:tc>
              <w:tc>
                <w:tcPr>
                  <w:tcW w:w="906" w:type="dxa"/>
                  <w:vMerge w:val="restart"/>
                  <w:noWrap/>
                  <w:vAlign w:val="center"/>
                </w:tcPr>
                <w:p w14:paraId="5EA3D277">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排放去向</w:t>
                  </w:r>
                </w:p>
              </w:tc>
              <w:tc>
                <w:tcPr>
                  <w:tcW w:w="827" w:type="dxa"/>
                  <w:vMerge w:val="restart"/>
                  <w:noWrap/>
                  <w:vAlign w:val="center"/>
                </w:tcPr>
                <w:p w14:paraId="22FACC7C">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排放规律</w:t>
                  </w:r>
                </w:p>
              </w:tc>
              <w:tc>
                <w:tcPr>
                  <w:tcW w:w="3471" w:type="dxa"/>
                  <w:gridSpan w:val="4"/>
                  <w:noWrap/>
                  <w:vAlign w:val="center"/>
                </w:tcPr>
                <w:p w14:paraId="397A1330">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治理设施</w:t>
                  </w:r>
                </w:p>
              </w:tc>
            </w:tr>
            <w:tr w14:paraId="7F8F5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0" w:type="dxa"/>
                  <w:vMerge w:val="continue"/>
                  <w:vAlign w:val="center"/>
                </w:tcPr>
                <w:p w14:paraId="2E37CE10">
                  <w:pPr>
                    <w:widowControl/>
                    <w:spacing w:line="340" w:lineRule="exact"/>
                    <w:jc w:val="center"/>
                    <w:rPr>
                      <w:rFonts w:hint="default" w:ascii="Times New Roman" w:hAnsi="Times New Roman" w:cs="Times New Roman"/>
                      <w:color w:val="000000"/>
                      <w:kern w:val="0"/>
                      <w:szCs w:val="21"/>
                      <w:highlight w:val="none"/>
                    </w:rPr>
                  </w:pPr>
                </w:p>
              </w:tc>
              <w:tc>
                <w:tcPr>
                  <w:tcW w:w="573" w:type="dxa"/>
                  <w:vMerge w:val="continue"/>
                  <w:vAlign w:val="center"/>
                </w:tcPr>
                <w:p w14:paraId="120ACBEA">
                  <w:pPr>
                    <w:widowControl/>
                    <w:spacing w:line="340" w:lineRule="exact"/>
                    <w:jc w:val="center"/>
                    <w:rPr>
                      <w:rFonts w:hint="default" w:ascii="Times New Roman" w:hAnsi="Times New Roman" w:cs="Times New Roman"/>
                      <w:color w:val="000000"/>
                      <w:kern w:val="0"/>
                      <w:szCs w:val="21"/>
                      <w:highlight w:val="none"/>
                    </w:rPr>
                  </w:pPr>
                </w:p>
              </w:tc>
              <w:tc>
                <w:tcPr>
                  <w:tcW w:w="947" w:type="dxa"/>
                  <w:vMerge w:val="continue"/>
                  <w:vAlign w:val="center"/>
                </w:tcPr>
                <w:p w14:paraId="443FAD4E">
                  <w:pPr>
                    <w:widowControl/>
                    <w:spacing w:line="340" w:lineRule="exact"/>
                    <w:jc w:val="center"/>
                    <w:rPr>
                      <w:rFonts w:hint="default" w:ascii="Times New Roman" w:hAnsi="Times New Roman" w:cs="Times New Roman"/>
                      <w:color w:val="000000"/>
                      <w:kern w:val="0"/>
                      <w:szCs w:val="21"/>
                      <w:highlight w:val="none"/>
                    </w:rPr>
                  </w:pPr>
                </w:p>
              </w:tc>
              <w:tc>
                <w:tcPr>
                  <w:tcW w:w="667" w:type="dxa"/>
                  <w:vMerge w:val="continue"/>
                  <w:vAlign w:val="center"/>
                </w:tcPr>
                <w:p w14:paraId="025A862D">
                  <w:pPr>
                    <w:widowControl/>
                    <w:spacing w:line="340" w:lineRule="exact"/>
                    <w:jc w:val="center"/>
                    <w:rPr>
                      <w:rFonts w:hint="default" w:ascii="Times New Roman" w:hAnsi="Times New Roman" w:cs="Times New Roman"/>
                      <w:color w:val="000000"/>
                      <w:kern w:val="0"/>
                      <w:szCs w:val="21"/>
                      <w:highlight w:val="none"/>
                    </w:rPr>
                  </w:pPr>
                </w:p>
              </w:tc>
              <w:tc>
                <w:tcPr>
                  <w:tcW w:w="906" w:type="dxa"/>
                  <w:vMerge w:val="continue"/>
                  <w:vAlign w:val="center"/>
                </w:tcPr>
                <w:p w14:paraId="67F6898F">
                  <w:pPr>
                    <w:widowControl/>
                    <w:spacing w:line="340" w:lineRule="exact"/>
                    <w:jc w:val="center"/>
                    <w:rPr>
                      <w:rFonts w:hint="default" w:ascii="Times New Roman" w:hAnsi="Times New Roman" w:cs="Times New Roman"/>
                      <w:color w:val="000000"/>
                      <w:kern w:val="0"/>
                      <w:szCs w:val="21"/>
                      <w:highlight w:val="none"/>
                    </w:rPr>
                  </w:pPr>
                </w:p>
              </w:tc>
              <w:tc>
                <w:tcPr>
                  <w:tcW w:w="827" w:type="dxa"/>
                  <w:vMerge w:val="continue"/>
                  <w:vAlign w:val="center"/>
                </w:tcPr>
                <w:p w14:paraId="231CA399">
                  <w:pPr>
                    <w:widowControl/>
                    <w:spacing w:line="340" w:lineRule="exact"/>
                    <w:jc w:val="center"/>
                    <w:rPr>
                      <w:rFonts w:hint="default" w:ascii="Times New Roman" w:hAnsi="Times New Roman" w:cs="Times New Roman"/>
                      <w:color w:val="000000"/>
                      <w:kern w:val="0"/>
                      <w:szCs w:val="21"/>
                      <w:highlight w:val="none"/>
                    </w:rPr>
                  </w:pPr>
                </w:p>
              </w:tc>
              <w:tc>
                <w:tcPr>
                  <w:tcW w:w="720" w:type="dxa"/>
                  <w:noWrap/>
                  <w:vAlign w:val="center"/>
                </w:tcPr>
                <w:p w14:paraId="5DF121A2">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处理能力</w:t>
                  </w:r>
                </w:p>
              </w:tc>
              <w:tc>
                <w:tcPr>
                  <w:tcW w:w="853" w:type="dxa"/>
                  <w:noWrap/>
                  <w:vAlign w:val="center"/>
                </w:tcPr>
                <w:p w14:paraId="186FB861">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治理工艺</w:t>
                  </w:r>
                </w:p>
              </w:tc>
              <w:tc>
                <w:tcPr>
                  <w:tcW w:w="827" w:type="dxa"/>
                  <w:noWrap/>
                  <w:vAlign w:val="center"/>
                </w:tcPr>
                <w:p w14:paraId="69AD1292">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治理效率%</w:t>
                  </w:r>
                </w:p>
              </w:tc>
              <w:tc>
                <w:tcPr>
                  <w:tcW w:w="1071" w:type="dxa"/>
                  <w:noWrap/>
                  <w:vAlign w:val="center"/>
                </w:tcPr>
                <w:p w14:paraId="502B44B1">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是否为可行技术</w:t>
                  </w:r>
                </w:p>
              </w:tc>
            </w:tr>
            <w:tr w14:paraId="4799E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Merge w:val="restart"/>
                  <w:noWrap/>
                  <w:vAlign w:val="center"/>
                </w:tcPr>
                <w:p w14:paraId="0DDB2AA5">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职工</w:t>
                  </w:r>
                </w:p>
                <w:p w14:paraId="2F3B6C2A">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生活</w:t>
                  </w:r>
                </w:p>
              </w:tc>
              <w:tc>
                <w:tcPr>
                  <w:tcW w:w="573" w:type="dxa"/>
                  <w:vMerge w:val="restart"/>
                  <w:noWrap/>
                  <w:vAlign w:val="center"/>
                </w:tcPr>
                <w:p w14:paraId="61FF511E">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生活污水</w:t>
                  </w:r>
                </w:p>
              </w:tc>
              <w:tc>
                <w:tcPr>
                  <w:tcW w:w="947" w:type="dxa"/>
                  <w:noWrap/>
                  <w:vAlign w:val="center"/>
                </w:tcPr>
                <w:p w14:paraId="516545A6">
                  <w:pPr>
                    <w:widowControl/>
                    <w:spacing w:line="340" w:lineRule="exact"/>
                    <w:jc w:val="center"/>
                    <w:rPr>
                      <w:rFonts w:hint="eastAsia" w:ascii="Times New Roman" w:hAnsi="Times New Roman" w:eastAsia="宋体" w:cs="Times New Roman"/>
                      <w:color w:val="000000"/>
                      <w:kern w:val="0"/>
                      <w:szCs w:val="21"/>
                      <w:highlight w:val="none"/>
                      <w:lang w:eastAsia="zh-CN"/>
                    </w:rPr>
                  </w:pPr>
                  <w:r>
                    <w:rPr>
                      <w:rFonts w:hint="eastAsia" w:ascii="Times New Roman" w:hAnsi="Times New Roman" w:eastAsia="宋体" w:cs="Times New Roman"/>
                      <w:highlight w:val="none"/>
                      <w:lang w:eastAsia="zh-CN"/>
                    </w:rPr>
                    <w:t>COD</w:t>
                  </w:r>
                </w:p>
              </w:tc>
              <w:tc>
                <w:tcPr>
                  <w:tcW w:w="667" w:type="dxa"/>
                  <w:vMerge w:val="restart"/>
                  <w:noWrap/>
                  <w:vAlign w:val="center"/>
                </w:tcPr>
                <w:p w14:paraId="60B3B9DD">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间接</w:t>
                  </w:r>
                </w:p>
              </w:tc>
              <w:tc>
                <w:tcPr>
                  <w:tcW w:w="906" w:type="dxa"/>
                  <w:vMerge w:val="restart"/>
                  <w:noWrap/>
                  <w:vAlign w:val="center"/>
                </w:tcPr>
                <w:p w14:paraId="7DD6E327">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eastAsia="宋体" w:cs="Times New Roman"/>
                      <w:color w:val="000000"/>
                      <w:kern w:val="0"/>
                      <w:szCs w:val="21"/>
                      <w:highlight w:val="none"/>
                      <w:lang w:val="en-US" w:eastAsia="zh-CN"/>
                    </w:rPr>
                    <w:t>蓬壶镇</w:t>
                  </w:r>
                  <w:r>
                    <w:rPr>
                      <w:rFonts w:hint="default" w:ascii="Times New Roman" w:hAnsi="Times New Roman" w:cs="Times New Roman"/>
                      <w:color w:val="000000"/>
                      <w:kern w:val="0"/>
                      <w:szCs w:val="21"/>
                      <w:highlight w:val="none"/>
                    </w:rPr>
                    <w:t>污水处理厂</w:t>
                  </w:r>
                </w:p>
              </w:tc>
              <w:tc>
                <w:tcPr>
                  <w:tcW w:w="827" w:type="dxa"/>
                  <w:vMerge w:val="restart"/>
                  <w:noWrap/>
                  <w:vAlign w:val="center"/>
                </w:tcPr>
                <w:p w14:paraId="0E1838B6">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排放期间流量稳定</w:t>
                  </w:r>
                </w:p>
              </w:tc>
              <w:tc>
                <w:tcPr>
                  <w:tcW w:w="720" w:type="dxa"/>
                  <w:vMerge w:val="restart"/>
                  <w:noWrap/>
                  <w:vAlign w:val="center"/>
                </w:tcPr>
                <w:p w14:paraId="58E21844">
                  <w:pPr>
                    <w:widowControl/>
                    <w:spacing w:line="340" w:lineRule="exact"/>
                    <w:jc w:val="center"/>
                    <w:rPr>
                      <w:rFonts w:hint="default" w:ascii="Times New Roman" w:hAnsi="Times New Roman" w:cs="Times New Roman"/>
                      <w:color w:val="000000"/>
                      <w:kern w:val="0"/>
                      <w:szCs w:val="21"/>
                      <w:highlight w:val="none"/>
                    </w:rPr>
                  </w:pPr>
                  <w:r>
                    <w:rPr>
                      <w:rFonts w:hint="eastAsia" w:ascii="Times New Roman" w:hAnsi="Times New Roman" w:eastAsia="宋体" w:cs="Times New Roman"/>
                      <w:color w:val="000000"/>
                      <w:kern w:val="0"/>
                      <w:szCs w:val="21"/>
                      <w:highlight w:val="none"/>
                      <w:lang w:val="en-US" w:eastAsia="zh-CN"/>
                    </w:rPr>
                    <w:t>23</w:t>
                  </w:r>
                  <w:r>
                    <w:rPr>
                      <w:rFonts w:hint="default" w:ascii="Times New Roman" w:hAnsi="Times New Roman" w:cs="Times New Roman"/>
                      <w:color w:val="000000"/>
                      <w:kern w:val="0"/>
                      <w:szCs w:val="21"/>
                      <w:highlight w:val="none"/>
                    </w:rPr>
                    <w:t>t</w:t>
                  </w:r>
                  <w:r>
                    <w:rPr>
                      <w:rFonts w:hint="default" w:ascii="Times New Roman" w:hAnsi="Times New Roman" w:cs="Times New Roman"/>
                      <w:color w:val="000000"/>
                      <w:szCs w:val="21"/>
                      <w:highlight w:val="none"/>
                    </w:rPr>
                    <w:t>/d</w:t>
                  </w:r>
                </w:p>
              </w:tc>
              <w:tc>
                <w:tcPr>
                  <w:tcW w:w="853" w:type="dxa"/>
                  <w:vMerge w:val="restart"/>
                  <w:noWrap/>
                  <w:vAlign w:val="center"/>
                </w:tcPr>
                <w:p w14:paraId="7F31EFC2">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化粪池</w:t>
                  </w:r>
                </w:p>
              </w:tc>
              <w:tc>
                <w:tcPr>
                  <w:tcW w:w="827" w:type="dxa"/>
                  <w:noWrap/>
                  <w:vAlign w:val="center"/>
                </w:tcPr>
                <w:p w14:paraId="68C5DC3F">
                  <w:pPr>
                    <w:widowControl/>
                    <w:spacing w:line="340" w:lineRule="exact"/>
                    <w:jc w:val="center"/>
                    <w:rPr>
                      <w:rFonts w:hint="default" w:ascii="Times New Roman" w:hAnsi="Times New Roman" w:cs="Times New Roman"/>
                      <w:color w:val="000000"/>
                      <w:kern w:val="0"/>
                      <w:szCs w:val="21"/>
                      <w:highlight w:val="none"/>
                    </w:rPr>
                  </w:pPr>
                  <w:r>
                    <w:rPr>
                      <w:rFonts w:hint="eastAsia" w:ascii="Times New Roman" w:hAnsi="Times New Roman" w:eastAsia="宋体" w:cs="Times New Roman"/>
                      <w:szCs w:val="21"/>
                      <w:highlight w:val="none"/>
                      <w:lang w:val="en-US" w:eastAsia="zh-CN"/>
                    </w:rPr>
                    <w:t>5</w:t>
                  </w:r>
                  <w:r>
                    <w:rPr>
                      <w:rFonts w:hint="default" w:ascii="Times New Roman" w:hAnsi="Times New Roman" w:eastAsia="宋体" w:cs="Times New Roman"/>
                      <w:szCs w:val="21"/>
                      <w:highlight w:val="none"/>
                      <w:lang w:val="en-US" w:eastAsia="zh-CN"/>
                    </w:rPr>
                    <w:t>5</w:t>
                  </w:r>
                  <w:r>
                    <w:rPr>
                      <w:rFonts w:hint="default" w:ascii="Times New Roman" w:hAnsi="Times New Roman" w:cs="Times New Roman"/>
                      <w:szCs w:val="21"/>
                      <w:highlight w:val="none"/>
                    </w:rPr>
                    <w:t>%</w:t>
                  </w:r>
                </w:p>
              </w:tc>
              <w:tc>
                <w:tcPr>
                  <w:tcW w:w="1071" w:type="dxa"/>
                  <w:vMerge w:val="restart"/>
                  <w:noWrap/>
                  <w:vAlign w:val="center"/>
                </w:tcPr>
                <w:p w14:paraId="6B05CF0B">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是</w:t>
                  </w:r>
                </w:p>
              </w:tc>
            </w:tr>
            <w:tr w14:paraId="700B5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Merge w:val="continue"/>
                  <w:noWrap/>
                  <w:vAlign w:val="center"/>
                </w:tcPr>
                <w:p w14:paraId="33615ADC">
                  <w:pPr>
                    <w:widowControl/>
                    <w:spacing w:line="340" w:lineRule="exact"/>
                    <w:jc w:val="center"/>
                    <w:rPr>
                      <w:rFonts w:hint="default" w:ascii="Times New Roman" w:hAnsi="Times New Roman" w:cs="Times New Roman"/>
                      <w:color w:val="000000"/>
                      <w:kern w:val="0"/>
                      <w:szCs w:val="21"/>
                      <w:highlight w:val="none"/>
                    </w:rPr>
                  </w:pPr>
                </w:p>
              </w:tc>
              <w:tc>
                <w:tcPr>
                  <w:tcW w:w="573" w:type="dxa"/>
                  <w:vMerge w:val="continue"/>
                  <w:noWrap/>
                  <w:vAlign w:val="center"/>
                </w:tcPr>
                <w:p w14:paraId="3F748632">
                  <w:pPr>
                    <w:widowControl/>
                    <w:spacing w:line="340" w:lineRule="exact"/>
                    <w:jc w:val="center"/>
                    <w:rPr>
                      <w:rFonts w:hint="default" w:ascii="Times New Roman" w:hAnsi="Times New Roman" w:cs="Times New Roman"/>
                      <w:color w:val="000000"/>
                      <w:kern w:val="0"/>
                      <w:szCs w:val="21"/>
                      <w:highlight w:val="none"/>
                    </w:rPr>
                  </w:pPr>
                </w:p>
              </w:tc>
              <w:tc>
                <w:tcPr>
                  <w:tcW w:w="947" w:type="dxa"/>
                  <w:noWrap/>
                  <w:vAlign w:val="center"/>
                </w:tcPr>
                <w:p w14:paraId="79C0535A">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BOD</w:t>
                  </w:r>
                  <w:r>
                    <w:rPr>
                      <w:rFonts w:hint="default" w:ascii="Times New Roman" w:hAnsi="Times New Roman" w:cs="Times New Roman"/>
                      <w:color w:val="000000"/>
                      <w:szCs w:val="21"/>
                      <w:highlight w:val="none"/>
                      <w:vertAlign w:val="subscript"/>
                    </w:rPr>
                    <w:t>5</w:t>
                  </w:r>
                </w:p>
              </w:tc>
              <w:tc>
                <w:tcPr>
                  <w:tcW w:w="667" w:type="dxa"/>
                  <w:vMerge w:val="continue"/>
                  <w:noWrap/>
                  <w:vAlign w:val="center"/>
                </w:tcPr>
                <w:p w14:paraId="54D626E3">
                  <w:pPr>
                    <w:widowControl/>
                    <w:spacing w:line="340" w:lineRule="exact"/>
                    <w:jc w:val="center"/>
                    <w:rPr>
                      <w:rFonts w:hint="default" w:ascii="Times New Roman" w:hAnsi="Times New Roman" w:cs="Times New Roman"/>
                      <w:color w:val="000000"/>
                      <w:kern w:val="0"/>
                      <w:szCs w:val="21"/>
                      <w:highlight w:val="none"/>
                    </w:rPr>
                  </w:pPr>
                </w:p>
              </w:tc>
              <w:tc>
                <w:tcPr>
                  <w:tcW w:w="906" w:type="dxa"/>
                  <w:vMerge w:val="continue"/>
                  <w:noWrap/>
                  <w:vAlign w:val="center"/>
                </w:tcPr>
                <w:p w14:paraId="11C211B4">
                  <w:pPr>
                    <w:widowControl/>
                    <w:spacing w:line="340" w:lineRule="exact"/>
                    <w:jc w:val="center"/>
                    <w:rPr>
                      <w:rFonts w:hint="default" w:ascii="Times New Roman" w:hAnsi="Times New Roman" w:cs="Times New Roman"/>
                      <w:color w:val="000000"/>
                      <w:kern w:val="0"/>
                      <w:szCs w:val="21"/>
                      <w:highlight w:val="none"/>
                    </w:rPr>
                  </w:pPr>
                </w:p>
              </w:tc>
              <w:tc>
                <w:tcPr>
                  <w:tcW w:w="827" w:type="dxa"/>
                  <w:vMerge w:val="continue"/>
                  <w:noWrap/>
                  <w:vAlign w:val="center"/>
                </w:tcPr>
                <w:p w14:paraId="67F4599B">
                  <w:pPr>
                    <w:widowControl/>
                    <w:spacing w:line="340" w:lineRule="exact"/>
                    <w:jc w:val="center"/>
                    <w:rPr>
                      <w:rFonts w:hint="default" w:ascii="Times New Roman" w:hAnsi="Times New Roman" w:cs="Times New Roman"/>
                      <w:color w:val="000000"/>
                      <w:kern w:val="0"/>
                      <w:szCs w:val="21"/>
                      <w:highlight w:val="none"/>
                    </w:rPr>
                  </w:pPr>
                </w:p>
              </w:tc>
              <w:tc>
                <w:tcPr>
                  <w:tcW w:w="720" w:type="dxa"/>
                  <w:vMerge w:val="continue"/>
                  <w:noWrap/>
                  <w:vAlign w:val="center"/>
                </w:tcPr>
                <w:p w14:paraId="2E57E25F">
                  <w:pPr>
                    <w:widowControl/>
                    <w:spacing w:line="340" w:lineRule="exact"/>
                    <w:jc w:val="center"/>
                    <w:rPr>
                      <w:rFonts w:hint="default" w:ascii="Times New Roman" w:hAnsi="Times New Roman" w:cs="Times New Roman"/>
                      <w:color w:val="000000"/>
                      <w:kern w:val="0"/>
                      <w:szCs w:val="21"/>
                      <w:highlight w:val="none"/>
                    </w:rPr>
                  </w:pPr>
                </w:p>
              </w:tc>
              <w:tc>
                <w:tcPr>
                  <w:tcW w:w="853" w:type="dxa"/>
                  <w:vMerge w:val="continue"/>
                  <w:noWrap/>
                  <w:vAlign w:val="center"/>
                </w:tcPr>
                <w:p w14:paraId="49B5BF99">
                  <w:pPr>
                    <w:widowControl/>
                    <w:spacing w:line="340" w:lineRule="exact"/>
                    <w:jc w:val="center"/>
                    <w:rPr>
                      <w:rFonts w:hint="default" w:ascii="Times New Roman" w:hAnsi="Times New Roman" w:cs="Times New Roman"/>
                      <w:color w:val="000000"/>
                      <w:kern w:val="0"/>
                      <w:szCs w:val="21"/>
                      <w:highlight w:val="none"/>
                    </w:rPr>
                  </w:pPr>
                </w:p>
              </w:tc>
              <w:tc>
                <w:tcPr>
                  <w:tcW w:w="827" w:type="dxa"/>
                  <w:noWrap/>
                  <w:vAlign w:val="center"/>
                </w:tcPr>
                <w:p w14:paraId="303F2BBE">
                  <w:pPr>
                    <w:widowControl/>
                    <w:spacing w:line="340" w:lineRule="exact"/>
                    <w:jc w:val="center"/>
                    <w:rPr>
                      <w:rFonts w:hint="default" w:ascii="Times New Roman" w:hAnsi="Times New Roman" w:cs="Times New Roman"/>
                      <w:szCs w:val="21"/>
                      <w:highlight w:val="none"/>
                    </w:rPr>
                  </w:pPr>
                  <w:r>
                    <w:rPr>
                      <w:rFonts w:hint="eastAsia" w:ascii="Times New Roman" w:hAnsi="Times New Roman" w:eastAsia="宋体" w:cs="Times New Roman"/>
                      <w:szCs w:val="21"/>
                      <w:highlight w:val="none"/>
                      <w:lang w:val="en-US" w:eastAsia="zh-CN"/>
                    </w:rPr>
                    <w:t>5</w:t>
                  </w:r>
                  <w:r>
                    <w:rPr>
                      <w:rFonts w:hint="default" w:ascii="Times New Roman" w:hAnsi="Times New Roman" w:eastAsia="宋体" w:cs="Times New Roman"/>
                      <w:szCs w:val="21"/>
                      <w:highlight w:val="none"/>
                      <w:lang w:val="en-US" w:eastAsia="zh-CN"/>
                    </w:rPr>
                    <w:t>0</w:t>
                  </w:r>
                  <w:r>
                    <w:rPr>
                      <w:rFonts w:hint="default" w:ascii="Times New Roman" w:hAnsi="Times New Roman" w:cs="Times New Roman"/>
                      <w:szCs w:val="21"/>
                      <w:highlight w:val="none"/>
                    </w:rPr>
                    <w:t>%</w:t>
                  </w:r>
                </w:p>
              </w:tc>
              <w:tc>
                <w:tcPr>
                  <w:tcW w:w="1071" w:type="dxa"/>
                  <w:vMerge w:val="continue"/>
                  <w:noWrap/>
                  <w:vAlign w:val="center"/>
                </w:tcPr>
                <w:p w14:paraId="5B2E5BE1">
                  <w:pPr>
                    <w:widowControl/>
                    <w:spacing w:line="340" w:lineRule="exact"/>
                    <w:jc w:val="center"/>
                    <w:rPr>
                      <w:rFonts w:hint="default" w:ascii="Times New Roman" w:hAnsi="Times New Roman" w:cs="Times New Roman"/>
                      <w:color w:val="000000"/>
                      <w:kern w:val="0"/>
                      <w:szCs w:val="21"/>
                      <w:highlight w:val="none"/>
                    </w:rPr>
                  </w:pPr>
                </w:p>
              </w:tc>
            </w:tr>
            <w:tr w14:paraId="50743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Merge w:val="continue"/>
                  <w:noWrap/>
                  <w:vAlign w:val="center"/>
                </w:tcPr>
                <w:p w14:paraId="5972A50B">
                  <w:pPr>
                    <w:widowControl/>
                    <w:spacing w:line="340" w:lineRule="exact"/>
                    <w:jc w:val="center"/>
                    <w:rPr>
                      <w:rFonts w:hint="default" w:ascii="Times New Roman" w:hAnsi="Times New Roman" w:cs="Times New Roman"/>
                      <w:color w:val="000000"/>
                      <w:kern w:val="0"/>
                      <w:szCs w:val="21"/>
                      <w:highlight w:val="none"/>
                    </w:rPr>
                  </w:pPr>
                </w:p>
              </w:tc>
              <w:tc>
                <w:tcPr>
                  <w:tcW w:w="573" w:type="dxa"/>
                  <w:vMerge w:val="continue"/>
                  <w:noWrap/>
                  <w:vAlign w:val="center"/>
                </w:tcPr>
                <w:p w14:paraId="301FA295">
                  <w:pPr>
                    <w:widowControl/>
                    <w:spacing w:line="340" w:lineRule="exact"/>
                    <w:jc w:val="center"/>
                    <w:rPr>
                      <w:rFonts w:hint="default" w:ascii="Times New Roman" w:hAnsi="Times New Roman" w:cs="Times New Roman"/>
                      <w:color w:val="000000"/>
                      <w:kern w:val="0"/>
                      <w:szCs w:val="21"/>
                      <w:highlight w:val="none"/>
                    </w:rPr>
                  </w:pPr>
                </w:p>
              </w:tc>
              <w:tc>
                <w:tcPr>
                  <w:tcW w:w="947" w:type="dxa"/>
                  <w:noWrap/>
                  <w:vAlign w:val="center"/>
                </w:tcPr>
                <w:p w14:paraId="06597804">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szCs w:val="21"/>
                      <w:highlight w:val="none"/>
                    </w:rPr>
                    <w:t>SS</w:t>
                  </w:r>
                </w:p>
              </w:tc>
              <w:tc>
                <w:tcPr>
                  <w:tcW w:w="667" w:type="dxa"/>
                  <w:vMerge w:val="continue"/>
                  <w:noWrap/>
                  <w:vAlign w:val="center"/>
                </w:tcPr>
                <w:p w14:paraId="7E6EF504">
                  <w:pPr>
                    <w:widowControl/>
                    <w:spacing w:line="340" w:lineRule="exact"/>
                    <w:jc w:val="center"/>
                    <w:rPr>
                      <w:rFonts w:hint="default" w:ascii="Times New Roman" w:hAnsi="Times New Roman" w:cs="Times New Roman"/>
                      <w:color w:val="000000"/>
                      <w:kern w:val="0"/>
                      <w:szCs w:val="21"/>
                      <w:highlight w:val="none"/>
                    </w:rPr>
                  </w:pPr>
                </w:p>
              </w:tc>
              <w:tc>
                <w:tcPr>
                  <w:tcW w:w="906" w:type="dxa"/>
                  <w:vMerge w:val="continue"/>
                  <w:noWrap/>
                  <w:vAlign w:val="center"/>
                </w:tcPr>
                <w:p w14:paraId="15FAF10E">
                  <w:pPr>
                    <w:widowControl/>
                    <w:spacing w:line="340" w:lineRule="exact"/>
                    <w:jc w:val="center"/>
                    <w:rPr>
                      <w:rFonts w:hint="default" w:ascii="Times New Roman" w:hAnsi="Times New Roman" w:cs="Times New Roman"/>
                      <w:color w:val="000000"/>
                      <w:kern w:val="0"/>
                      <w:szCs w:val="21"/>
                      <w:highlight w:val="none"/>
                    </w:rPr>
                  </w:pPr>
                </w:p>
              </w:tc>
              <w:tc>
                <w:tcPr>
                  <w:tcW w:w="827" w:type="dxa"/>
                  <w:vMerge w:val="continue"/>
                  <w:noWrap/>
                  <w:vAlign w:val="center"/>
                </w:tcPr>
                <w:p w14:paraId="53262D42">
                  <w:pPr>
                    <w:widowControl/>
                    <w:spacing w:line="340" w:lineRule="exact"/>
                    <w:jc w:val="center"/>
                    <w:rPr>
                      <w:rFonts w:hint="default" w:ascii="Times New Roman" w:hAnsi="Times New Roman" w:cs="Times New Roman"/>
                      <w:color w:val="000000"/>
                      <w:kern w:val="0"/>
                      <w:szCs w:val="21"/>
                      <w:highlight w:val="none"/>
                    </w:rPr>
                  </w:pPr>
                </w:p>
              </w:tc>
              <w:tc>
                <w:tcPr>
                  <w:tcW w:w="720" w:type="dxa"/>
                  <w:vMerge w:val="continue"/>
                  <w:noWrap/>
                  <w:vAlign w:val="center"/>
                </w:tcPr>
                <w:p w14:paraId="0EFF1572">
                  <w:pPr>
                    <w:widowControl/>
                    <w:spacing w:line="340" w:lineRule="exact"/>
                    <w:jc w:val="center"/>
                    <w:rPr>
                      <w:rFonts w:hint="default" w:ascii="Times New Roman" w:hAnsi="Times New Roman" w:cs="Times New Roman"/>
                      <w:color w:val="000000"/>
                      <w:kern w:val="0"/>
                      <w:szCs w:val="21"/>
                      <w:highlight w:val="none"/>
                    </w:rPr>
                  </w:pPr>
                </w:p>
              </w:tc>
              <w:tc>
                <w:tcPr>
                  <w:tcW w:w="853" w:type="dxa"/>
                  <w:vMerge w:val="continue"/>
                  <w:noWrap/>
                  <w:vAlign w:val="center"/>
                </w:tcPr>
                <w:p w14:paraId="53F30EB0">
                  <w:pPr>
                    <w:widowControl/>
                    <w:spacing w:line="340" w:lineRule="exact"/>
                    <w:jc w:val="center"/>
                    <w:rPr>
                      <w:rFonts w:hint="default" w:ascii="Times New Roman" w:hAnsi="Times New Roman" w:cs="Times New Roman"/>
                      <w:color w:val="000000"/>
                      <w:kern w:val="0"/>
                      <w:szCs w:val="21"/>
                      <w:highlight w:val="none"/>
                    </w:rPr>
                  </w:pPr>
                </w:p>
              </w:tc>
              <w:tc>
                <w:tcPr>
                  <w:tcW w:w="827" w:type="dxa"/>
                  <w:noWrap/>
                  <w:vAlign w:val="center"/>
                </w:tcPr>
                <w:p w14:paraId="48E4C281">
                  <w:pPr>
                    <w:widowControl/>
                    <w:spacing w:line="340" w:lineRule="exact"/>
                    <w:jc w:val="center"/>
                    <w:rPr>
                      <w:rFonts w:hint="default" w:ascii="Times New Roman" w:hAnsi="Times New Roman" w:cs="Times New Roman"/>
                      <w:color w:val="000000"/>
                      <w:kern w:val="0"/>
                      <w:szCs w:val="21"/>
                      <w:highlight w:val="none"/>
                    </w:rPr>
                  </w:pPr>
                  <w:r>
                    <w:rPr>
                      <w:rFonts w:hint="eastAsia" w:ascii="Times New Roman" w:hAnsi="Times New Roman" w:eastAsia="宋体" w:cs="Times New Roman"/>
                      <w:szCs w:val="21"/>
                      <w:highlight w:val="none"/>
                      <w:lang w:val="en-US" w:eastAsia="zh-CN"/>
                    </w:rPr>
                    <w:t>6</w:t>
                  </w:r>
                  <w:r>
                    <w:rPr>
                      <w:rFonts w:hint="default" w:ascii="Times New Roman" w:hAnsi="Times New Roman" w:eastAsia="宋体" w:cs="Times New Roman"/>
                      <w:szCs w:val="21"/>
                      <w:highlight w:val="none"/>
                      <w:lang w:val="en-US" w:eastAsia="zh-CN"/>
                    </w:rPr>
                    <w:t>0</w:t>
                  </w:r>
                  <w:r>
                    <w:rPr>
                      <w:rFonts w:hint="default" w:ascii="Times New Roman" w:hAnsi="Times New Roman" w:cs="Times New Roman"/>
                      <w:szCs w:val="21"/>
                      <w:highlight w:val="none"/>
                    </w:rPr>
                    <w:t>%</w:t>
                  </w:r>
                </w:p>
              </w:tc>
              <w:tc>
                <w:tcPr>
                  <w:tcW w:w="1071" w:type="dxa"/>
                  <w:vMerge w:val="continue"/>
                  <w:noWrap/>
                  <w:vAlign w:val="center"/>
                </w:tcPr>
                <w:p w14:paraId="2BE9C9E4">
                  <w:pPr>
                    <w:widowControl/>
                    <w:spacing w:line="340" w:lineRule="exact"/>
                    <w:jc w:val="center"/>
                    <w:rPr>
                      <w:rFonts w:hint="default" w:ascii="Times New Roman" w:hAnsi="Times New Roman" w:cs="Times New Roman"/>
                      <w:color w:val="000000"/>
                      <w:kern w:val="0"/>
                      <w:szCs w:val="21"/>
                      <w:highlight w:val="none"/>
                    </w:rPr>
                  </w:pPr>
                </w:p>
              </w:tc>
            </w:tr>
            <w:tr w14:paraId="5C57C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dxa"/>
                  <w:vMerge w:val="continue"/>
                  <w:noWrap/>
                  <w:vAlign w:val="center"/>
                </w:tcPr>
                <w:p w14:paraId="1E7EA83D">
                  <w:pPr>
                    <w:widowControl/>
                    <w:spacing w:line="340" w:lineRule="exact"/>
                    <w:jc w:val="center"/>
                    <w:rPr>
                      <w:rFonts w:hint="default" w:ascii="Times New Roman" w:hAnsi="Times New Roman" w:cs="Times New Roman"/>
                      <w:color w:val="000000"/>
                      <w:kern w:val="0"/>
                      <w:szCs w:val="21"/>
                      <w:highlight w:val="none"/>
                    </w:rPr>
                  </w:pPr>
                </w:p>
              </w:tc>
              <w:tc>
                <w:tcPr>
                  <w:tcW w:w="573" w:type="dxa"/>
                  <w:vMerge w:val="continue"/>
                  <w:noWrap/>
                  <w:vAlign w:val="center"/>
                </w:tcPr>
                <w:p w14:paraId="2F3EA68C">
                  <w:pPr>
                    <w:widowControl/>
                    <w:spacing w:line="340" w:lineRule="exact"/>
                    <w:jc w:val="center"/>
                    <w:rPr>
                      <w:rFonts w:hint="default" w:ascii="Times New Roman" w:hAnsi="Times New Roman" w:cs="Times New Roman"/>
                      <w:color w:val="000000"/>
                      <w:kern w:val="0"/>
                      <w:szCs w:val="21"/>
                      <w:highlight w:val="none"/>
                    </w:rPr>
                  </w:pPr>
                </w:p>
              </w:tc>
              <w:tc>
                <w:tcPr>
                  <w:tcW w:w="947" w:type="dxa"/>
                  <w:noWrap/>
                  <w:vAlign w:val="center"/>
                </w:tcPr>
                <w:p w14:paraId="58497FCF">
                  <w:pPr>
                    <w:widowControl/>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NH</w:t>
                  </w:r>
                  <w:r>
                    <w:rPr>
                      <w:rFonts w:hint="default" w:ascii="Times New Roman" w:hAnsi="Times New Roman" w:cs="Times New Roman"/>
                      <w:color w:val="000000"/>
                      <w:szCs w:val="21"/>
                      <w:highlight w:val="none"/>
                      <w:vertAlign w:val="subscript"/>
                    </w:rPr>
                    <w:t>3</w:t>
                  </w:r>
                  <w:r>
                    <w:rPr>
                      <w:rFonts w:hint="default" w:ascii="Times New Roman" w:hAnsi="Times New Roman" w:cs="Times New Roman"/>
                      <w:color w:val="000000"/>
                      <w:szCs w:val="21"/>
                      <w:highlight w:val="none"/>
                    </w:rPr>
                    <w:t>-N</w:t>
                  </w:r>
                </w:p>
              </w:tc>
              <w:tc>
                <w:tcPr>
                  <w:tcW w:w="667" w:type="dxa"/>
                  <w:vMerge w:val="continue"/>
                  <w:noWrap/>
                  <w:vAlign w:val="center"/>
                </w:tcPr>
                <w:p w14:paraId="27517715">
                  <w:pPr>
                    <w:widowControl/>
                    <w:spacing w:line="340" w:lineRule="exact"/>
                    <w:jc w:val="center"/>
                    <w:rPr>
                      <w:rFonts w:hint="default" w:ascii="Times New Roman" w:hAnsi="Times New Roman" w:cs="Times New Roman"/>
                      <w:color w:val="000000"/>
                      <w:kern w:val="0"/>
                      <w:szCs w:val="21"/>
                      <w:highlight w:val="none"/>
                    </w:rPr>
                  </w:pPr>
                </w:p>
              </w:tc>
              <w:tc>
                <w:tcPr>
                  <w:tcW w:w="906" w:type="dxa"/>
                  <w:vMerge w:val="continue"/>
                  <w:noWrap/>
                  <w:vAlign w:val="center"/>
                </w:tcPr>
                <w:p w14:paraId="65AADB28">
                  <w:pPr>
                    <w:widowControl/>
                    <w:spacing w:line="340" w:lineRule="exact"/>
                    <w:jc w:val="center"/>
                    <w:rPr>
                      <w:rFonts w:hint="default" w:ascii="Times New Roman" w:hAnsi="Times New Roman" w:cs="Times New Roman"/>
                      <w:color w:val="000000"/>
                      <w:kern w:val="0"/>
                      <w:szCs w:val="21"/>
                      <w:highlight w:val="none"/>
                    </w:rPr>
                  </w:pPr>
                </w:p>
              </w:tc>
              <w:tc>
                <w:tcPr>
                  <w:tcW w:w="827" w:type="dxa"/>
                  <w:vMerge w:val="continue"/>
                  <w:noWrap/>
                  <w:vAlign w:val="center"/>
                </w:tcPr>
                <w:p w14:paraId="1C403E20">
                  <w:pPr>
                    <w:widowControl/>
                    <w:spacing w:line="340" w:lineRule="exact"/>
                    <w:jc w:val="center"/>
                    <w:rPr>
                      <w:rFonts w:hint="default" w:ascii="Times New Roman" w:hAnsi="Times New Roman" w:cs="Times New Roman"/>
                      <w:color w:val="000000"/>
                      <w:kern w:val="0"/>
                      <w:szCs w:val="21"/>
                      <w:highlight w:val="none"/>
                    </w:rPr>
                  </w:pPr>
                </w:p>
              </w:tc>
              <w:tc>
                <w:tcPr>
                  <w:tcW w:w="720" w:type="dxa"/>
                  <w:vMerge w:val="continue"/>
                  <w:noWrap/>
                  <w:vAlign w:val="center"/>
                </w:tcPr>
                <w:p w14:paraId="22CDEA92">
                  <w:pPr>
                    <w:widowControl/>
                    <w:spacing w:line="340" w:lineRule="exact"/>
                    <w:jc w:val="center"/>
                    <w:rPr>
                      <w:rFonts w:hint="default" w:ascii="Times New Roman" w:hAnsi="Times New Roman" w:cs="Times New Roman"/>
                      <w:color w:val="000000"/>
                      <w:kern w:val="0"/>
                      <w:szCs w:val="21"/>
                      <w:highlight w:val="none"/>
                    </w:rPr>
                  </w:pPr>
                </w:p>
              </w:tc>
              <w:tc>
                <w:tcPr>
                  <w:tcW w:w="853" w:type="dxa"/>
                  <w:vMerge w:val="continue"/>
                  <w:noWrap/>
                  <w:vAlign w:val="center"/>
                </w:tcPr>
                <w:p w14:paraId="5B0BE9D7">
                  <w:pPr>
                    <w:widowControl/>
                    <w:spacing w:line="340" w:lineRule="exact"/>
                    <w:jc w:val="center"/>
                    <w:rPr>
                      <w:rFonts w:hint="default" w:ascii="Times New Roman" w:hAnsi="Times New Roman" w:cs="Times New Roman"/>
                      <w:color w:val="000000"/>
                      <w:kern w:val="0"/>
                      <w:szCs w:val="21"/>
                      <w:highlight w:val="none"/>
                    </w:rPr>
                  </w:pPr>
                </w:p>
              </w:tc>
              <w:tc>
                <w:tcPr>
                  <w:tcW w:w="827" w:type="dxa"/>
                  <w:noWrap/>
                  <w:vAlign w:val="center"/>
                </w:tcPr>
                <w:p w14:paraId="75AE74A8">
                  <w:pPr>
                    <w:widowControl/>
                    <w:spacing w:line="340" w:lineRule="exact"/>
                    <w:jc w:val="center"/>
                    <w:rPr>
                      <w:rFonts w:hint="default" w:ascii="Times New Roman" w:hAnsi="Times New Roman" w:cs="Times New Roman"/>
                      <w:color w:val="000000"/>
                      <w:kern w:val="0"/>
                      <w:szCs w:val="21"/>
                      <w:highlight w:val="none"/>
                    </w:rPr>
                  </w:pPr>
                  <w:r>
                    <w:rPr>
                      <w:rFonts w:hint="eastAsia" w:ascii="Times New Roman" w:hAnsi="Times New Roman" w:eastAsia="宋体" w:cs="Times New Roman"/>
                      <w:color w:val="000000"/>
                      <w:kern w:val="0"/>
                      <w:szCs w:val="21"/>
                      <w:highlight w:val="none"/>
                      <w:lang w:val="en-US" w:eastAsia="zh-CN"/>
                    </w:rPr>
                    <w:t>2</w:t>
                  </w:r>
                  <w:r>
                    <w:rPr>
                      <w:rFonts w:hint="default" w:ascii="Times New Roman" w:hAnsi="Times New Roman" w:eastAsia="宋体" w:cs="Times New Roman"/>
                      <w:color w:val="000000"/>
                      <w:kern w:val="0"/>
                      <w:szCs w:val="21"/>
                      <w:highlight w:val="none"/>
                      <w:lang w:val="en-US" w:eastAsia="zh-CN"/>
                    </w:rPr>
                    <w:t>5</w:t>
                  </w:r>
                  <w:r>
                    <w:rPr>
                      <w:rFonts w:hint="default" w:ascii="Times New Roman" w:hAnsi="Times New Roman" w:cs="Times New Roman"/>
                      <w:color w:val="000000"/>
                      <w:kern w:val="0"/>
                      <w:szCs w:val="21"/>
                      <w:highlight w:val="none"/>
                    </w:rPr>
                    <w:t>%</w:t>
                  </w:r>
                </w:p>
              </w:tc>
              <w:tc>
                <w:tcPr>
                  <w:tcW w:w="1071" w:type="dxa"/>
                  <w:vMerge w:val="continue"/>
                  <w:noWrap/>
                  <w:vAlign w:val="center"/>
                </w:tcPr>
                <w:p w14:paraId="622A0177">
                  <w:pPr>
                    <w:widowControl/>
                    <w:spacing w:line="340" w:lineRule="exact"/>
                    <w:jc w:val="center"/>
                    <w:rPr>
                      <w:rFonts w:hint="default" w:ascii="Times New Roman" w:hAnsi="Times New Roman" w:cs="Times New Roman"/>
                      <w:color w:val="000000"/>
                      <w:kern w:val="0"/>
                      <w:szCs w:val="21"/>
                      <w:highlight w:val="none"/>
                    </w:rPr>
                  </w:pPr>
                </w:p>
              </w:tc>
            </w:tr>
          </w:tbl>
          <w:p w14:paraId="5C7C755B">
            <w:pPr>
              <w:spacing w:before="120" w:beforeLines="50" w:line="360" w:lineRule="auto"/>
              <w:jc w:val="center"/>
              <w:rPr>
                <w:rFonts w:hint="default" w:ascii="Times New Roman" w:hAnsi="Times New Roman" w:cs="Times New Roman"/>
                <w:highlight w:val="none"/>
              </w:rPr>
            </w:pPr>
            <w:r>
              <w:rPr>
                <w:rFonts w:hint="default" w:ascii="Times New Roman" w:hAnsi="Times New Roman" w:cs="Times New Roman"/>
                <w:b/>
                <w:bCs/>
                <w:color w:val="000000"/>
                <w:kern w:val="0"/>
                <w:sz w:val="24"/>
                <w:highlight w:val="none"/>
              </w:rPr>
              <w:t>表4</w:t>
            </w:r>
            <w:r>
              <w:rPr>
                <w:rFonts w:hint="eastAsia" w:ascii="Times New Roman" w:hAnsi="Times New Roman" w:eastAsia="宋体" w:cs="Times New Roman"/>
                <w:b/>
                <w:bCs/>
                <w:color w:val="000000"/>
                <w:kern w:val="0"/>
                <w:sz w:val="24"/>
                <w:highlight w:val="none"/>
                <w:lang w:val="en-US" w:eastAsia="zh-CN"/>
              </w:rPr>
              <w:t>.1-3</w:t>
            </w:r>
            <w:r>
              <w:rPr>
                <w:rFonts w:hint="default" w:ascii="Times New Roman" w:hAnsi="Times New Roman" w:eastAsia="宋体" w:cs="Times New Roman"/>
                <w:b/>
                <w:bCs/>
                <w:color w:val="000000"/>
                <w:kern w:val="0"/>
                <w:sz w:val="24"/>
                <w:highlight w:val="none"/>
                <w:lang w:val="en-US" w:eastAsia="zh-CN"/>
              </w:rPr>
              <w:t xml:space="preserve"> </w:t>
            </w:r>
            <w:r>
              <w:rPr>
                <w:rFonts w:hint="default" w:ascii="Times New Roman" w:hAnsi="Times New Roman" w:cs="Times New Roman"/>
                <w:b/>
                <w:bCs/>
                <w:color w:val="000000"/>
                <w:kern w:val="0"/>
                <w:sz w:val="24"/>
                <w:highlight w:val="none"/>
              </w:rPr>
              <w:t>项目废水排放口基本情况、排放标准一览表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6"/>
              <w:gridCol w:w="906"/>
              <w:gridCol w:w="1280"/>
              <w:gridCol w:w="1280"/>
              <w:gridCol w:w="3585"/>
            </w:tblGrid>
            <w:tr w14:paraId="3D98BE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pct"/>
                  <w:vMerge w:val="restart"/>
                  <w:noWrap/>
                  <w:vAlign w:val="center"/>
                </w:tcPr>
                <w:p w14:paraId="3ADA3354">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废水排放口编号</w:t>
                  </w:r>
                </w:p>
              </w:tc>
              <w:tc>
                <w:tcPr>
                  <w:tcW w:w="2124" w:type="pct"/>
                  <w:gridSpan w:val="3"/>
                  <w:noWrap/>
                  <w:vAlign w:val="center"/>
                </w:tcPr>
                <w:p w14:paraId="5BB57ECF">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排放口基本情况</w:t>
                  </w:r>
                </w:p>
              </w:tc>
              <w:tc>
                <w:tcPr>
                  <w:tcW w:w="2197" w:type="pct"/>
                  <w:vMerge w:val="restart"/>
                  <w:noWrap/>
                  <w:vAlign w:val="center"/>
                </w:tcPr>
                <w:p w14:paraId="1ECD346C">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排放标准</w:t>
                  </w:r>
                </w:p>
              </w:tc>
            </w:tr>
            <w:tr w14:paraId="2E3254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pct"/>
                  <w:vMerge w:val="continue"/>
                  <w:noWrap w:val="0"/>
                  <w:vAlign w:val="center"/>
                </w:tcPr>
                <w:p w14:paraId="028CE8E6">
                  <w:pPr>
                    <w:widowControl/>
                    <w:spacing w:line="340" w:lineRule="exact"/>
                    <w:jc w:val="center"/>
                    <w:rPr>
                      <w:rFonts w:hint="default" w:ascii="Times New Roman" w:hAnsi="Times New Roman" w:cs="Times New Roman"/>
                      <w:color w:val="000000"/>
                      <w:kern w:val="0"/>
                      <w:szCs w:val="21"/>
                      <w:highlight w:val="none"/>
                    </w:rPr>
                  </w:pPr>
                </w:p>
              </w:tc>
              <w:tc>
                <w:tcPr>
                  <w:tcW w:w="555" w:type="pct"/>
                  <w:vMerge w:val="restart"/>
                  <w:noWrap/>
                  <w:vAlign w:val="center"/>
                </w:tcPr>
                <w:p w14:paraId="2ADE7509">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类型</w:t>
                  </w:r>
                </w:p>
              </w:tc>
              <w:tc>
                <w:tcPr>
                  <w:tcW w:w="1569" w:type="pct"/>
                  <w:gridSpan w:val="2"/>
                  <w:noWrap/>
                  <w:vAlign w:val="center"/>
                </w:tcPr>
                <w:p w14:paraId="37F7A5B9">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地理坐标</w:t>
                  </w:r>
                </w:p>
              </w:tc>
              <w:tc>
                <w:tcPr>
                  <w:tcW w:w="2197" w:type="pct"/>
                  <w:vMerge w:val="continue"/>
                  <w:noWrap w:val="0"/>
                  <w:vAlign w:val="center"/>
                </w:tcPr>
                <w:p w14:paraId="4841D3FB">
                  <w:pPr>
                    <w:widowControl/>
                    <w:spacing w:line="340" w:lineRule="exact"/>
                    <w:jc w:val="center"/>
                    <w:rPr>
                      <w:rFonts w:hint="default" w:ascii="Times New Roman" w:hAnsi="Times New Roman" w:cs="Times New Roman"/>
                      <w:color w:val="000000"/>
                      <w:kern w:val="0"/>
                      <w:szCs w:val="21"/>
                      <w:highlight w:val="none"/>
                    </w:rPr>
                  </w:pPr>
                </w:p>
              </w:tc>
            </w:tr>
            <w:tr w14:paraId="64F413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pct"/>
                  <w:vMerge w:val="continue"/>
                  <w:noWrap w:val="0"/>
                  <w:vAlign w:val="center"/>
                </w:tcPr>
                <w:p w14:paraId="09044EDA">
                  <w:pPr>
                    <w:widowControl/>
                    <w:spacing w:line="340" w:lineRule="exact"/>
                    <w:jc w:val="center"/>
                    <w:rPr>
                      <w:rFonts w:hint="default" w:ascii="Times New Roman" w:hAnsi="Times New Roman" w:cs="Times New Roman"/>
                      <w:color w:val="000000"/>
                      <w:kern w:val="0"/>
                      <w:szCs w:val="21"/>
                      <w:highlight w:val="none"/>
                    </w:rPr>
                  </w:pPr>
                </w:p>
              </w:tc>
              <w:tc>
                <w:tcPr>
                  <w:tcW w:w="555" w:type="pct"/>
                  <w:vMerge w:val="continue"/>
                  <w:noWrap/>
                  <w:vAlign w:val="center"/>
                </w:tcPr>
                <w:p w14:paraId="03787E5E">
                  <w:pPr>
                    <w:widowControl/>
                    <w:spacing w:line="340" w:lineRule="exact"/>
                    <w:jc w:val="center"/>
                    <w:rPr>
                      <w:rFonts w:hint="default" w:ascii="Times New Roman" w:hAnsi="Times New Roman" w:cs="Times New Roman"/>
                      <w:color w:val="000000"/>
                      <w:kern w:val="0"/>
                      <w:szCs w:val="21"/>
                      <w:highlight w:val="none"/>
                    </w:rPr>
                  </w:pPr>
                </w:p>
              </w:tc>
              <w:tc>
                <w:tcPr>
                  <w:tcW w:w="784" w:type="pct"/>
                  <w:noWrap/>
                  <w:vAlign w:val="center"/>
                </w:tcPr>
                <w:p w14:paraId="46A5D53E">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经度</w:t>
                  </w:r>
                </w:p>
              </w:tc>
              <w:tc>
                <w:tcPr>
                  <w:tcW w:w="784" w:type="pct"/>
                  <w:noWrap/>
                  <w:vAlign w:val="center"/>
                </w:tcPr>
                <w:p w14:paraId="1F850A5B">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纬度</w:t>
                  </w:r>
                </w:p>
              </w:tc>
              <w:tc>
                <w:tcPr>
                  <w:tcW w:w="2197" w:type="pct"/>
                  <w:vMerge w:val="continue"/>
                  <w:noWrap w:val="0"/>
                  <w:vAlign w:val="center"/>
                </w:tcPr>
                <w:p w14:paraId="0E04C1D7">
                  <w:pPr>
                    <w:widowControl/>
                    <w:spacing w:line="340" w:lineRule="exact"/>
                    <w:jc w:val="center"/>
                    <w:rPr>
                      <w:rFonts w:hint="default" w:ascii="Times New Roman" w:hAnsi="Times New Roman" w:cs="Times New Roman"/>
                      <w:color w:val="000000"/>
                      <w:kern w:val="0"/>
                      <w:szCs w:val="21"/>
                      <w:highlight w:val="none"/>
                    </w:rPr>
                  </w:pPr>
                </w:p>
              </w:tc>
            </w:tr>
            <w:tr w14:paraId="289C07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pct"/>
                  <w:noWrap/>
                  <w:vAlign w:val="center"/>
                </w:tcPr>
                <w:p w14:paraId="0D08DBE6">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化粪池</w:t>
                  </w:r>
                </w:p>
                <w:p w14:paraId="45416E43">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排放口DW001</w:t>
                  </w:r>
                </w:p>
              </w:tc>
              <w:tc>
                <w:tcPr>
                  <w:tcW w:w="555" w:type="pct"/>
                  <w:noWrap/>
                  <w:vAlign w:val="center"/>
                </w:tcPr>
                <w:p w14:paraId="0F0067FC">
                  <w:pPr>
                    <w:widowControl/>
                    <w:spacing w:line="3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color w:val="000000"/>
                      <w:kern w:val="0"/>
                      <w:szCs w:val="21"/>
                      <w:highlight w:val="none"/>
                    </w:rPr>
                    <w:t>一般排放口</w:t>
                  </w:r>
                </w:p>
              </w:tc>
              <w:tc>
                <w:tcPr>
                  <w:tcW w:w="784" w:type="pct"/>
                  <w:noWrap/>
                  <w:vAlign w:val="center"/>
                </w:tcPr>
                <w:p w14:paraId="78F9A84F">
                  <w:pPr>
                    <w:jc w:val="center"/>
                    <w:textAlignment w:val="center"/>
                    <w:rPr>
                      <w:rFonts w:hint="default" w:ascii="Times New Roman" w:hAnsi="Times New Roman" w:cs="Times New Roman"/>
                      <w:color w:val="000000"/>
                      <w:kern w:val="0"/>
                      <w:szCs w:val="21"/>
                      <w:highlight w:val="none"/>
                    </w:rPr>
                  </w:pPr>
                  <w:r>
                    <w:rPr>
                      <w:rFonts w:hint="default" w:ascii="Times New Roman" w:hAnsi="Times New Roman" w:eastAsia="宋体" w:cs="Times New Roman"/>
                      <w:highlight w:val="none"/>
                      <w:lang w:val="en-US" w:eastAsia="zh-CN"/>
                    </w:rPr>
                    <w:t>E</w:t>
                  </w:r>
                  <w:r>
                    <w:rPr>
                      <w:rFonts w:hint="default" w:ascii="Times New Roman" w:hAnsi="Times New Roman" w:cs="Times New Roman"/>
                      <w:highlight w:val="none"/>
                    </w:rPr>
                    <w:t>118.142188°</w:t>
                  </w:r>
                </w:p>
              </w:tc>
              <w:tc>
                <w:tcPr>
                  <w:tcW w:w="784" w:type="pct"/>
                  <w:noWrap/>
                  <w:vAlign w:val="center"/>
                </w:tcPr>
                <w:p w14:paraId="38E53F91">
                  <w:pPr>
                    <w:jc w:val="center"/>
                    <w:textAlignment w:val="center"/>
                    <w:rPr>
                      <w:rFonts w:hint="default" w:ascii="Times New Roman" w:hAnsi="Times New Roman" w:cs="Times New Roman"/>
                      <w:color w:val="000000"/>
                      <w:kern w:val="0"/>
                      <w:szCs w:val="21"/>
                      <w:highlight w:val="none"/>
                    </w:rPr>
                  </w:pPr>
                  <w:r>
                    <w:rPr>
                      <w:rFonts w:hint="default" w:ascii="Times New Roman" w:hAnsi="Times New Roman" w:eastAsia="宋体" w:cs="Times New Roman"/>
                      <w:highlight w:val="none"/>
                      <w:lang w:val="en-US" w:eastAsia="zh-CN"/>
                    </w:rPr>
                    <w:t>N</w:t>
                  </w:r>
                  <w:r>
                    <w:rPr>
                      <w:rFonts w:hint="default" w:ascii="Times New Roman" w:hAnsi="Times New Roman" w:cs="Times New Roman"/>
                      <w:highlight w:val="none"/>
                    </w:rPr>
                    <w:t>25.367614</w:t>
                  </w:r>
                  <w:r>
                    <w:rPr>
                      <w:rFonts w:hint="default" w:ascii="Times New Roman" w:hAnsi="Times New Roman" w:cs="Times New Roman"/>
                      <w:color w:val="000000"/>
                      <w:szCs w:val="18"/>
                      <w:highlight w:val="none"/>
                      <w:lang w:bidi="en-US"/>
                    </w:rPr>
                    <w:t>°</w:t>
                  </w:r>
                </w:p>
              </w:tc>
              <w:tc>
                <w:tcPr>
                  <w:tcW w:w="2197" w:type="pct"/>
                  <w:noWrap/>
                  <w:vAlign w:val="center"/>
                </w:tcPr>
                <w:p w14:paraId="50361E9B">
                  <w:pPr>
                    <w:widowControl/>
                    <w:spacing w:line="340" w:lineRule="exact"/>
                    <w:jc w:val="left"/>
                    <w:rPr>
                      <w:rFonts w:hint="default" w:ascii="Times New Roman" w:hAnsi="Times New Roman" w:cs="Times New Roman"/>
                      <w:color w:val="000000"/>
                      <w:kern w:val="0"/>
                      <w:szCs w:val="21"/>
                      <w:highlight w:val="none"/>
                    </w:rPr>
                  </w:pPr>
                  <w:r>
                    <w:rPr>
                      <w:rFonts w:hint="default" w:ascii="Times New Roman" w:hAnsi="Times New Roman" w:cs="Times New Roman"/>
                      <w:szCs w:val="21"/>
                      <w:highlight w:val="none"/>
                    </w:rPr>
                    <w:t>《污水综合排放标准》</w:t>
                  </w:r>
                  <w:r>
                    <w:rPr>
                      <w:rFonts w:hint="eastAsia" w:ascii="Times New Roman" w:hAnsi="Times New Roman" w:eastAsia="宋体" w:cs="Times New Roman"/>
                      <w:szCs w:val="21"/>
                      <w:highlight w:val="none"/>
                      <w:lang w:eastAsia="zh-CN"/>
                    </w:rPr>
                    <w:t>（GB 8978-1996）</w:t>
                  </w:r>
                  <w:r>
                    <w:rPr>
                      <w:rFonts w:hint="default" w:ascii="Times New Roman" w:hAnsi="Times New Roman" w:cs="Times New Roman"/>
                      <w:szCs w:val="21"/>
                      <w:highlight w:val="none"/>
                    </w:rPr>
                    <w:t>表4三级标准，其中NH</w:t>
                  </w:r>
                  <w:r>
                    <w:rPr>
                      <w:rFonts w:hint="default" w:ascii="Times New Roman" w:hAnsi="Times New Roman" w:cs="Times New Roman"/>
                      <w:szCs w:val="21"/>
                      <w:highlight w:val="none"/>
                      <w:vertAlign w:val="subscript"/>
                    </w:rPr>
                    <w:t>3</w:t>
                  </w:r>
                  <w:r>
                    <w:rPr>
                      <w:rFonts w:hint="default" w:ascii="Times New Roman" w:hAnsi="Times New Roman" w:cs="Times New Roman"/>
                      <w:szCs w:val="21"/>
                      <w:highlight w:val="none"/>
                    </w:rPr>
                    <w:t>-N符合</w:t>
                  </w:r>
                  <w:r>
                    <w:rPr>
                      <w:rFonts w:hint="default" w:ascii="Times New Roman" w:hAnsi="Times New Roman" w:cs="Times New Roman"/>
                      <w:color w:val="000000"/>
                      <w:szCs w:val="21"/>
                      <w:highlight w:val="none"/>
                    </w:rPr>
                    <w:t>《污水排入城镇下水道水质标准》</w:t>
                  </w:r>
                  <w:r>
                    <w:rPr>
                      <w:rFonts w:hint="eastAsia" w:ascii="Times New Roman" w:hAnsi="Times New Roman" w:eastAsia="宋体" w:cs="Times New Roman"/>
                      <w:color w:val="000000"/>
                      <w:szCs w:val="21"/>
                      <w:highlight w:val="none"/>
                      <w:lang w:eastAsia="zh-CN"/>
                    </w:rPr>
                    <w:t>（GB/T 31962-2015）</w:t>
                  </w:r>
                  <w:r>
                    <w:rPr>
                      <w:rFonts w:hint="default" w:ascii="Times New Roman" w:hAnsi="Times New Roman" w:cs="Times New Roman"/>
                      <w:color w:val="000000"/>
                      <w:szCs w:val="21"/>
                      <w:highlight w:val="none"/>
                    </w:rPr>
                    <w:t>表1 B</w:t>
                  </w:r>
                  <w:r>
                    <w:rPr>
                      <w:rFonts w:hint="eastAsia" w:ascii="Times New Roman" w:hAnsi="Times New Roman" w:eastAsia="宋体" w:cs="Times New Roman"/>
                      <w:color w:val="000000"/>
                      <w:szCs w:val="21"/>
                      <w:highlight w:val="none"/>
                      <w:lang w:val="en-US" w:eastAsia="zh-CN"/>
                    </w:rPr>
                    <w:t>等</w:t>
                  </w:r>
                  <w:r>
                    <w:rPr>
                      <w:rFonts w:hint="default" w:ascii="Times New Roman" w:hAnsi="Times New Roman" w:cs="Times New Roman"/>
                      <w:color w:val="000000"/>
                      <w:szCs w:val="21"/>
                      <w:highlight w:val="none"/>
                    </w:rPr>
                    <w:t>级标准</w:t>
                  </w:r>
                </w:p>
              </w:tc>
            </w:tr>
          </w:tbl>
          <w:p w14:paraId="3F291127">
            <w:pPr>
              <w:pStyle w:val="12"/>
              <w:pBdr>
                <w:bottom w:val="none" w:color="auto" w:sz="0" w:space="0"/>
              </w:pBdr>
              <w:spacing w:before="120" w:beforeLines="50"/>
              <w:jc w:val="left"/>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4.1.4 废水处理设施可行性分析</w:t>
            </w:r>
          </w:p>
          <w:p w14:paraId="4E57DAA1">
            <w:pPr>
              <w:pStyle w:val="3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（1）项目废水</w:t>
            </w:r>
            <w:r>
              <w:rPr>
                <w:rFonts w:hint="eastAsia" w:cs="Times New Roman"/>
                <w:color w:val="auto"/>
                <w:highlight w:val="none"/>
                <w:lang w:val="en-US" w:eastAsia="zh-CN"/>
              </w:rPr>
              <w:t>化粪池处理</w:t>
            </w:r>
            <w:r>
              <w:rPr>
                <w:rFonts w:hint="default" w:ascii="Times New Roman" w:hAnsi="Times New Roman" w:cs="Times New Roman"/>
                <w:color w:val="auto"/>
                <w:highlight w:val="none"/>
              </w:rPr>
              <w:t>的可行性分析</w:t>
            </w:r>
          </w:p>
          <w:p w14:paraId="6B961D7B">
            <w:pPr>
              <w:spacing w:line="360" w:lineRule="auto"/>
              <w:ind w:firstLine="480" w:firstLineChars="200"/>
              <w:contextualSpacing/>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①生活污水依托出租方化粪池的可行性分析</w:t>
            </w:r>
          </w:p>
          <w:p w14:paraId="7165F1A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据调查，出租方厂区范围内已建设独立化粪池，容积23m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，主要接收、处理本项目生活污水，项目生活污水排放量为3.4t/d，因此现有化粪池容积可满足接纳本项目新增的生活污水要求。</w:t>
            </w:r>
          </w:p>
          <w:p w14:paraId="277EFE0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②化粪池处理工艺简介</w:t>
            </w:r>
          </w:p>
          <w:p w14:paraId="731518BC">
            <w:pPr>
              <w:spacing w:line="360" w:lineRule="auto"/>
              <w:ind w:firstLine="480" w:firstLineChars="200"/>
              <w:contextualSpacing/>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三格式化粪池是利用重力沉降和厌氧发酵原理，对粪便污染物进行沉淀、消解的污水处理设施。粪便由厕所管道进入第一池，池内粪便产生沼气开始发酵分解，因比重不同粪便可分为三层，上层为比较浓的粪渣垃圾，下层为块状或颗粒状粪渣，中层为比较清的粪液。沉淀粪便通过厌氧消化，使有机物分解，易腐败的新鲜粪便转化为稳定的熟污泥。上清液作为化粪池的出水应进一步处理。三格式化粪池厌氧运行，不消耗动力，适用于水冲式厕所产生的高浓度粪便污水的预处理。</w:t>
            </w:r>
          </w:p>
          <w:p w14:paraId="4E8E1347">
            <w:pPr>
              <w:spacing w:line="360" w:lineRule="auto"/>
              <w:ind w:firstLine="480" w:firstLineChars="200"/>
              <w:contextualSpacing/>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③化粪池处理效果分析</w:t>
            </w:r>
          </w:p>
          <w:p w14:paraId="624BBBA4">
            <w:pPr>
              <w:spacing w:line="360" w:lineRule="auto"/>
              <w:ind w:firstLine="480" w:firstLineChars="200"/>
              <w:contextualSpacing/>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生活污水水质情况大体为：pH：7.0-8.0、COD：340mg/L、BOD</w:t>
            </w:r>
            <w:r>
              <w:rPr>
                <w:rFonts w:hint="eastAsia"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lang w:val="en-US" w:eastAsia="zh-CN"/>
              </w:rPr>
              <w:t>120mg/L、SS：200mg/L、NH</w:t>
            </w:r>
            <w:r>
              <w:rPr>
                <w:rFonts w:hint="eastAsia" w:ascii="Times New Roman" w:hAnsi="Times New Roman" w:cs="Times New Roman"/>
                <w:color w:val="auto"/>
                <w:sz w:val="24"/>
                <w:szCs w:val="24"/>
                <w:highlight w:val="none"/>
                <w:vertAlign w:val="subscript"/>
                <w:lang w:val="en-US" w:eastAsia="zh-CN"/>
              </w:rPr>
              <w:t>3</w:t>
            </w:r>
            <w:r>
              <w:rPr>
                <w:rFonts w:hint="eastAsia" w:ascii="Times New Roman" w:hAnsi="Times New Roman" w:cs="Times New Roman"/>
                <w:color w:val="auto"/>
                <w:sz w:val="24"/>
                <w:szCs w:val="24"/>
                <w:highlight w:val="none"/>
                <w:lang w:val="en-US" w:eastAsia="zh-CN"/>
              </w:rPr>
              <w:t>-N：32.6mg/L。项目厂区内现有池容为23m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的化粪池，生活污水在化粪池内停留24个小时以上，经化粪池处理后，其处理效率为COD：55</w:t>
            </w:r>
            <w:r>
              <w:rPr>
                <w:rFonts w:hint="default" w:ascii="Times New Roman" w:hAnsi="Times New Roman" w:cs="Times New Roman"/>
                <w:color w:val="auto"/>
                <w:sz w:val="24"/>
                <w:szCs w:val="24"/>
                <w:highlight w:val="none"/>
                <w:lang w:val="en-US" w:eastAsia="zh-CN"/>
              </w:rPr>
              <w:t>%、BOD</w:t>
            </w:r>
            <w:r>
              <w:rPr>
                <w:rFonts w:hint="default" w:ascii="Times New Roman" w:hAnsi="Times New Roman" w:cs="Times New Roman"/>
                <w:color w:val="auto"/>
                <w:sz w:val="24"/>
                <w:szCs w:val="24"/>
                <w:highlight w:val="none"/>
                <w:vertAlign w:val="subscript"/>
                <w:lang w:val="en-US" w:eastAsia="zh-CN"/>
              </w:rPr>
              <w:t>5</w:t>
            </w:r>
            <w:r>
              <w:rPr>
                <w:rFonts w:hint="eastAsia" w:ascii="Times New Roman" w:hAnsi="Times New Roman" w:cs="Times New Roman"/>
                <w:color w:val="auto"/>
                <w:sz w:val="24"/>
                <w:szCs w:val="24"/>
                <w:highlight w:val="none"/>
                <w:vertAlign w:val="subscript"/>
                <w:lang w:val="en-US" w:eastAsia="zh-CN"/>
              </w:rPr>
              <w:t>:</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0%、SS</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0%、NH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w:t>
            </w:r>
            <w:r>
              <w:rPr>
                <w:rFonts w:hint="eastAsia"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p>
          <w:p w14:paraId="26585222">
            <w:pPr>
              <w:pStyle w:val="31"/>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rPr>
              <w:t>（</w:t>
            </w:r>
            <w:r>
              <w:rPr>
                <w:rFonts w:hint="eastAsia" w:cs="Times New Roman"/>
                <w:color w:val="000000"/>
                <w:highlight w:val="none"/>
                <w:lang w:val="en-US" w:eastAsia="zh-CN"/>
              </w:rPr>
              <w:t>2</w:t>
            </w:r>
            <w:r>
              <w:rPr>
                <w:rFonts w:hint="default" w:ascii="Times New Roman" w:hAnsi="Times New Roman" w:cs="Times New Roman"/>
                <w:color w:val="000000"/>
                <w:highlight w:val="none"/>
              </w:rPr>
              <w:t>）项目废水排入污水处理厂的可行性分析</w:t>
            </w:r>
          </w:p>
          <w:p w14:paraId="7EDFF6E6">
            <w:pPr>
              <w:pStyle w:val="31"/>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rPr>
              <w:t>本项目生活污水</w:t>
            </w:r>
            <w:r>
              <w:rPr>
                <w:rFonts w:hint="eastAsia" w:cs="Times New Roman"/>
                <w:color w:val="000000"/>
                <w:highlight w:val="none"/>
                <w:lang w:val="en-US" w:eastAsia="zh-CN"/>
              </w:rPr>
              <w:t>依托出租方化粪池</w:t>
            </w:r>
            <w:r>
              <w:rPr>
                <w:rFonts w:hint="default" w:ascii="Times New Roman" w:hAnsi="Times New Roman" w:cs="Times New Roman"/>
                <w:color w:val="000000"/>
                <w:highlight w:val="none"/>
              </w:rPr>
              <w:t>处理后排入市政污水管网，纳入</w:t>
            </w:r>
            <w:r>
              <w:rPr>
                <w:rFonts w:hint="default" w:ascii="Times New Roman" w:hAnsi="Times New Roman" w:cs="Times New Roman"/>
                <w:color w:val="000000"/>
                <w:highlight w:val="none"/>
                <w:lang w:val="en-US" w:eastAsia="zh-CN"/>
              </w:rPr>
              <w:t>蓬壶镇</w:t>
            </w:r>
            <w:r>
              <w:rPr>
                <w:rFonts w:hint="default" w:ascii="Times New Roman" w:hAnsi="Times New Roman" w:cs="Times New Roman"/>
                <w:color w:val="000000"/>
                <w:highlight w:val="none"/>
              </w:rPr>
              <w:t>污水处理厂集中处理，属于间接排放。根据《建设项目环境影响报告表编制技术指南</w:t>
            </w:r>
            <w:r>
              <w:rPr>
                <w:rFonts w:hint="eastAsia" w:cs="Times New Roman"/>
                <w:color w:val="000000"/>
                <w:highlight w:val="none"/>
                <w:lang w:eastAsia="zh-CN"/>
              </w:rPr>
              <w:t>（</w:t>
            </w:r>
            <w:r>
              <w:rPr>
                <w:rFonts w:hint="default" w:ascii="Times New Roman" w:hAnsi="Times New Roman" w:cs="Times New Roman"/>
                <w:color w:val="000000"/>
                <w:highlight w:val="none"/>
              </w:rPr>
              <w:t>污染影响类</w:t>
            </w:r>
            <w:r>
              <w:rPr>
                <w:rFonts w:hint="eastAsia" w:cs="Times New Roman"/>
                <w:color w:val="000000"/>
                <w:highlight w:val="none"/>
                <w:lang w:eastAsia="zh-CN"/>
              </w:rPr>
              <w:t>）（</w:t>
            </w:r>
            <w:r>
              <w:rPr>
                <w:rFonts w:hint="default" w:ascii="Times New Roman" w:hAnsi="Times New Roman" w:cs="Times New Roman"/>
                <w:color w:val="000000"/>
                <w:highlight w:val="none"/>
              </w:rPr>
              <w:t>试行</w:t>
            </w:r>
            <w:r>
              <w:rPr>
                <w:rFonts w:hint="eastAsia" w:cs="Times New Roman"/>
                <w:color w:val="000000"/>
                <w:highlight w:val="none"/>
                <w:lang w:eastAsia="zh-CN"/>
              </w:rPr>
              <w:t>）</w:t>
            </w:r>
            <w:r>
              <w:rPr>
                <w:rFonts w:hint="default" w:ascii="Times New Roman" w:hAnsi="Times New Roman" w:cs="Times New Roman"/>
                <w:color w:val="000000"/>
                <w:highlight w:val="none"/>
              </w:rPr>
              <w:t>》</w:t>
            </w:r>
            <w:r>
              <w:rPr>
                <w:rFonts w:hint="eastAsia" w:cs="Times New Roman"/>
                <w:color w:val="000000"/>
                <w:highlight w:val="none"/>
                <w:lang w:eastAsia="zh-CN"/>
              </w:rPr>
              <w:t>（</w:t>
            </w:r>
            <w:r>
              <w:rPr>
                <w:rFonts w:hint="default" w:ascii="Times New Roman" w:hAnsi="Times New Roman" w:cs="Times New Roman"/>
                <w:color w:val="000000"/>
                <w:highlight w:val="none"/>
              </w:rPr>
              <w:t>环办环评</w:t>
            </w:r>
            <w:r>
              <w:rPr>
                <w:rFonts w:hint="eastAsia" w:cs="Times New Roman"/>
                <w:color w:val="000000"/>
                <w:highlight w:val="none"/>
                <w:lang w:eastAsia="zh-CN"/>
              </w:rPr>
              <w:t>〔2020〕33号）</w:t>
            </w:r>
            <w:r>
              <w:rPr>
                <w:rFonts w:hint="default" w:ascii="Times New Roman" w:hAnsi="Times New Roman" w:cs="Times New Roman"/>
                <w:color w:val="000000"/>
                <w:highlight w:val="none"/>
              </w:rPr>
              <w:t>要求，废水间接排放的建设项目应从处理能力、处理工艺、设计进出水水质等方面，分析依托集中污水处理厂的可行性。</w:t>
            </w:r>
          </w:p>
          <w:p w14:paraId="326276D4">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①蓬壶镇污水处理厂概况</w:t>
            </w:r>
          </w:p>
          <w:p w14:paraId="6E5268F9">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永春县蓬壶镇污水处理厂位于蓬壶镇孔里村桃溪西岸、农产品交易市场西侧。</w:t>
            </w:r>
            <w:r>
              <w:rPr>
                <w:rFonts w:hint="eastAsia" w:cs="Times New Roman"/>
                <w:color w:val="000000"/>
                <w:highlight w:val="none"/>
                <w:lang w:val="en-US" w:eastAsia="zh-CN"/>
              </w:rPr>
              <w:t>污水处理厂</w:t>
            </w:r>
            <w:r>
              <w:rPr>
                <w:rFonts w:hint="default" w:ascii="Times New Roman" w:hAnsi="Times New Roman" w:cs="Times New Roman"/>
                <w:color w:val="000000"/>
                <w:highlight w:val="none"/>
                <w:lang w:val="en-US" w:eastAsia="zh-CN"/>
              </w:rPr>
              <w:t>的选址便于将蓬壶镇镇区及沿途村落等区域污水统一有效集中处理</w:t>
            </w:r>
            <w:r>
              <w:rPr>
                <w:rFonts w:hint="eastAsia" w:cs="Times New Roman"/>
                <w:color w:val="000000"/>
                <w:highlight w:val="none"/>
                <w:lang w:val="en-US" w:eastAsia="zh-CN"/>
              </w:rPr>
              <w:t>。目前</w:t>
            </w:r>
            <w:r>
              <w:rPr>
                <w:rFonts w:hint="default" w:ascii="Times New Roman" w:hAnsi="Times New Roman" w:cs="Times New Roman"/>
                <w:color w:val="000000"/>
                <w:highlight w:val="none"/>
                <w:lang w:val="en-US" w:eastAsia="zh-CN"/>
              </w:rPr>
              <w:t>已建设有蓬壶镇污水处理厂一期管网，全长约10公里，主管网覆盖壶中、美山、美中、壶南、鹏溪、孔里等镇区村。永春县蓬壶镇污水处理厂由永春县绿地水务有限公司进行投资、建设、经营，占地总面积为18350</w:t>
            </w:r>
            <w:r>
              <w:rPr>
                <w:rFonts w:hint="eastAsia" w:cs="Times New Roman"/>
                <w:color w:val="000000"/>
                <w:highlight w:val="none"/>
                <w:lang w:val="en-US" w:eastAsia="zh-CN"/>
              </w:rPr>
              <w:t>m</w:t>
            </w:r>
            <w:r>
              <w:rPr>
                <w:rFonts w:hint="eastAsia" w:cs="Times New Roman"/>
                <w:color w:val="000000"/>
                <w:highlight w:val="none"/>
                <w:vertAlign w:val="superscript"/>
                <w:lang w:val="en-US" w:eastAsia="zh-CN"/>
              </w:rPr>
              <w:t>2</w:t>
            </w:r>
            <w:r>
              <w:rPr>
                <w:rFonts w:hint="default" w:ascii="Times New Roman" w:hAnsi="Times New Roman" w:cs="Times New Roman"/>
                <w:color w:val="000000"/>
                <w:highlight w:val="none"/>
                <w:lang w:val="en-US" w:eastAsia="zh-CN"/>
              </w:rPr>
              <w:t>，总投资约3179万元，目前建设规模为1万吨/日，远期总建设规模为2万吨/日，采用改良型卡鲁塞尔氧化沟工艺，</w:t>
            </w:r>
            <w:r>
              <w:rPr>
                <w:rFonts w:hint="default" w:ascii="Times New Roman" w:hAnsi="Times New Roman" w:cs="Times New Roman"/>
                <w:color w:val="auto"/>
                <w:highlight w:val="none"/>
                <w:lang w:val="en-US" w:eastAsia="zh-CN"/>
              </w:rPr>
              <w:t>设计要求出水水质</w:t>
            </w:r>
            <w:r>
              <w:rPr>
                <w:rFonts w:hint="eastAsia" w:cs="Times New Roman"/>
                <w:color w:val="auto"/>
                <w:highlight w:val="none"/>
                <w:lang w:val="en-US" w:eastAsia="zh-CN"/>
              </w:rPr>
              <w:t>达到</w:t>
            </w:r>
            <w:r>
              <w:rPr>
                <w:rFonts w:hint="default" w:ascii="Times New Roman" w:hAnsi="Times New Roman" w:cs="Times New Roman"/>
                <w:color w:val="auto"/>
                <w:highlight w:val="none"/>
                <w:lang w:val="en-US" w:eastAsia="zh-CN"/>
              </w:rPr>
              <w:t>《城镇污水处理厂污染物排放标准》（</w:t>
            </w:r>
            <w:r>
              <w:rPr>
                <w:rFonts w:hint="eastAsia" w:cs="Times New Roman"/>
                <w:color w:val="auto"/>
                <w:highlight w:val="none"/>
                <w:lang w:val="en-US" w:eastAsia="zh-CN"/>
              </w:rPr>
              <w:t>GB 18918-2002</w:t>
            </w:r>
            <w:r>
              <w:rPr>
                <w:rFonts w:hint="default" w:ascii="Times New Roman" w:hAnsi="Times New Roman" w:cs="Times New Roman"/>
                <w:color w:val="auto"/>
                <w:highlight w:val="none"/>
                <w:lang w:val="en-US" w:eastAsia="zh-CN"/>
              </w:rPr>
              <w:t>）表1一级</w:t>
            </w:r>
            <w:r>
              <w:rPr>
                <w:rFonts w:hint="eastAsia" w:cs="Times New Roman"/>
                <w:color w:val="auto"/>
                <w:highlight w:val="none"/>
                <w:lang w:val="en-US" w:eastAsia="zh-CN"/>
              </w:rPr>
              <w:t>A</w:t>
            </w:r>
            <w:r>
              <w:rPr>
                <w:rFonts w:hint="default" w:ascii="Times New Roman" w:hAnsi="Times New Roman" w:cs="Times New Roman"/>
                <w:color w:val="auto"/>
                <w:highlight w:val="none"/>
                <w:lang w:val="en-US" w:eastAsia="zh-CN"/>
              </w:rPr>
              <w:t>标准。</w:t>
            </w:r>
            <w:r>
              <w:rPr>
                <w:rFonts w:hint="eastAsia" w:cs="Times New Roman"/>
                <w:color w:val="auto"/>
                <w:highlight w:val="none"/>
                <w:lang w:val="en-US" w:eastAsia="zh-CN"/>
              </w:rPr>
              <w:t>污水处理厂</w:t>
            </w:r>
            <w:r>
              <w:rPr>
                <w:rFonts w:hint="default" w:ascii="Times New Roman" w:hAnsi="Times New Roman" w:cs="Times New Roman"/>
                <w:color w:val="000000"/>
                <w:highlight w:val="none"/>
                <w:lang w:val="en-US" w:eastAsia="zh-CN"/>
              </w:rPr>
              <w:t>于 2014年5月开工建设，2015年9月开始通水试运行，于2016年正式投入运行，其尾水最终排入桃溪。污水处理工艺流程图见图4</w:t>
            </w:r>
            <w:r>
              <w:rPr>
                <w:rFonts w:hint="eastAsia" w:cs="Times New Roman"/>
                <w:color w:val="000000"/>
                <w:highlight w:val="none"/>
                <w:lang w:val="en-US" w:eastAsia="zh-CN"/>
              </w:rPr>
              <w:t>.1-1</w:t>
            </w:r>
            <w:r>
              <w:rPr>
                <w:rFonts w:hint="default" w:ascii="Times New Roman" w:hAnsi="Times New Roman" w:cs="Times New Roman"/>
                <w:color w:val="000000"/>
                <w:highlight w:val="none"/>
                <w:lang w:val="en-US" w:eastAsia="zh-CN"/>
              </w:rPr>
              <w:t>。</w:t>
            </w:r>
          </w:p>
          <w:p w14:paraId="0CE45B14">
            <w:pPr>
              <w:pStyle w:val="31"/>
              <w:ind w:left="0" w:leftChars="0" w:firstLine="0" w:firstLineChars="0"/>
              <w:jc w:val="center"/>
              <w:rPr>
                <w:rFonts w:hint="default" w:ascii="Times New Roman" w:hAnsi="Times New Roman" w:cs="Times New Roman"/>
                <w:color w:val="000000"/>
                <w:highlight w:val="none"/>
                <w:lang w:val="en-US" w:eastAsia="zh-CN"/>
              </w:rPr>
            </w:pPr>
            <w:r>
              <w:rPr>
                <w:rFonts w:hint="default" w:ascii="Times New Roman" w:hAnsi="Times New Roman" w:cs="Times New Roman"/>
                <w:highlight w:val="none"/>
              </w:rPr>
              <w:drawing>
                <wp:inline distT="0" distB="0" distL="114300" distR="114300">
                  <wp:extent cx="4782185" cy="1386205"/>
                  <wp:effectExtent l="0" t="0" r="0" b="0"/>
                  <wp:docPr id="134" name="ECB019B1-382A-4266-B25C-5B523AA43C14-4"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ECB019B1-382A-4266-B25C-5B523AA43C14-4" descr="wpp"/>
                          <pic:cNvPicPr>
                            <a:picLocks noChangeAspect="1"/>
                          </pic:cNvPicPr>
                        </pic:nvPicPr>
                        <pic:blipFill>
                          <a:blip r:embed="rId15"/>
                          <a:stretch>
                            <a:fillRect/>
                          </a:stretch>
                        </pic:blipFill>
                        <pic:spPr>
                          <a:xfrm>
                            <a:off x="0" y="0"/>
                            <a:ext cx="4782185" cy="1386205"/>
                          </a:xfrm>
                          <a:prstGeom prst="rect">
                            <a:avLst/>
                          </a:prstGeom>
                        </pic:spPr>
                      </pic:pic>
                    </a:graphicData>
                  </a:graphic>
                </wp:inline>
              </w:drawing>
            </w:r>
          </w:p>
          <w:p w14:paraId="7BBBFBB0">
            <w:pPr>
              <w:pStyle w:val="31"/>
              <w:ind w:firstLine="480"/>
              <w:jc w:val="center"/>
              <w:rPr>
                <w:rFonts w:hint="default" w:ascii="Times New Roman" w:hAnsi="Times New Roman" w:cs="Times New Roman"/>
                <w:color w:val="000000"/>
                <w:highlight w:val="none"/>
                <w:lang w:val="en-US" w:eastAsia="zh-CN"/>
              </w:rPr>
            </w:pPr>
            <w:r>
              <w:rPr>
                <w:rFonts w:hint="default" w:ascii="Times New Roman" w:hAnsi="Times New Roman" w:cs="Times New Roman"/>
                <w:b/>
                <w:bCs/>
                <w:color w:val="000000"/>
                <w:sz w:val="24"/>
                <w:szCs w:val="24"/>
                <w:highlight w:val="none"/>
              </w:rPr>
              <w:t>图4</w:t>
            </w:r>
            <w:r>
              <w:rPr>
                <w:rFonts w:hint="eastAsia" w:cs="Times New Roman"/>
                <w:b/>
                <w:bCs/>
                <w:color w:val="000000"/>
                <w:sz w:val="24"/>
                <w:szCs w:val="24"/>
                <w:highlight w:val="none"/>
                <w:lang w:val="en-US" w:eastAsia="zh-CN"/>
              </w:rPr>
              <w:t>.1-1</w:t>
            </w:r>
            <w:r>
              <w:rPr>
                <w:rFonts w:hint="default" w:ascii="Times New Roman" w:hAnsi="Times New Roman" w:cs="Times New Roman"/>
                <w:b/>
                <w:bCs/>
                <w:color w:val="000000"/>
                <w:sz w:val="24"/>
                <w:szCs w:val="24"/>
                <w:highlight w:val="none"/>
              </w:rPr>
              <w:t xml:space="preserve"> </w:t>
            </w:r>
            <w:r>
              <w:rPr>
                <w:rFonts w:hint="eastAsia" w:cs="Times New Roman"/>
                <w:b/>
                <w:bCs/>
                <w:color w:val="000000"/>
                <w:sz w:val="24"/>
                <w:szCs w:val="24"/>
                <w:highlight w:val="none"/>
                <w:lang w:val="en-US" w:eastAsia="zh-CN"/>
              </w:rPr>
              <w:t>蓬壶镇污水处理厂</w:t>
            </w:r>
            <w:r>
              <w:rPr>
                <w:rFonts w:hint="default" w:ascii="Times New Roman" w:hAnsi="Times New Roman" w:cs="Times New Roman"/>
                <w:b/>
                <w:bCs/>
                <w:color w:val="000000"/>
                <w:sz w:val="24"/>
                <w:szCs w:val="24"/>
                <w:highlight w:val="none"/>
              </w:rPr>
              <w:t>污水处理流程图</w:t>
            </w:r>
          </w:p>
          <w:p w14:paraId="7B7283F7">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②永春县蓬壶镇污水处理厂运行现状</w:t>
            </w:r>
          </w:p>
          <w:p w14:paraId="2AA54C99">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根据福建省污染源监测信息综合发布平台公布的《2021年度永春县绿地水务有限公司自行监测年度报告》及其废水手工监测记录、自动监测记录显示，永春县蓬壶镇污水处理厂目前运行正常，无超标排放现象。永春县蓬壶镇污水处理厂目前处理能力为1.0万t/d，实际日处理量约为5000吨。</w:t>
            </w:r>
          </w:p>
          <w:p w14:paraId="17195173">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③管网衔接可行性分析</w:t>
            </w:r>
          </w:p>
          <w:p w14:paraId="2153CC3D">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根据配套管网工程建设方提供的资料，目前（近期工程）建设的配套污水管网中主干管总长约10公里，收集支管长约2公里。管网主要沿锦斗溪、壶东溪、桃溪两侧铺设，沿线经过军兜村、美山村、美中村、汤城村、壶中村、壶南村、鹏溪村、孔里村等8个村。根据地形特点，主干网、收集支管收集的污水靠重力作用流入</w:t>
            </w:r>
            <w:r>
              <w:rPr>
                <w:rFonts w:hint="eastAsia" w:cs="Times New Roman"/>
                <w:color w:val="000000"/>
                <w:highlight w:val="none"/>
                <w:lang w:val="en-US" w:eastAsia="zh-CN"/>
              </w:rPr>
              <w:t>蓬壶镇污水处理厂</w:t>
            </w:r>
            <w:r>
              <w:rPr>
                <w:rFonts w:hint="default" w:ascii="Times New Roman" w:hAnsi="Times New Roman" w:cs="Times New Roman"/>
                <w:color w:val="000000"/>
                <w:highlight w:val="none"/>
                <w:lang w:val="en-US" w:eastAsia="zh-CN"/>
              </w:rPr>
              <w:t>进行处理，无需建设泵房。本项目位于福建省泉州市永春县蓬壶镇</w:t>
            </w:r>
            <w:r>
              <w:rPr>
                <w:rFonts w:hint="eastAsia" w:cs="Times New Roman"/>
                <w:color w:val="000000"/>
                <w:highlight w:val="none"/>
                <w:lang w:val="en-US" w:eastAsia="zh-CN"/>
              </w:rPr>
              <w:t>蓬壶工业园内</w:t>
            </w:r>
            <w:r>
              <w:rPr>
                <w:rFonts w:hint="default" w:ascii="Times New Roman" w:hAnsi="Times New Roman" w:cs="Times New Roman"/>
                <w:color w:val="000000"/>
                <w:highlight w:val="none"/>
                <w:lang w:val="en-US" w:eastAsia="zh-CN"/>
              </w:rPr>
              <w:t>，位于孔里村西北侧</w:t>
            </w:r>
            <w:r>
              <w:rPr>
                <w:rFonts w:hint="eastAsia" w:cs="Times New Roman"/>
                <w:color w:val="000000"/>
                <w:highlight w:val="none"/>
                <w:lang w:val="en-US" w:eastAsia="zh-CN"/>
              </w:rPr>
              <w:t>约145</w:t>
            </w:r>
            <w:r>
              <w:rPr>
                <w:rFonts w:hint="default" w:ascii="Times New Roman" w:hAnsi="Times New Roman" w:cs="Times New Roman"/>
                <w:color w:val="000000"/>
                <w:highlight w:val="none"/>
                <w:lang w:val="en-US" w:eastAsia="zh-CN"/>
              </w:rPr>
              <w:t>m处，目前</w:t>
            </w:r>
            <w:r>
              <w:rPr>
                <w:rFonts w:hint="eastAsia" w:cs="Times New Roman"/>
                <w:color w:val="000000"/>
                <w:highlight w:val="none"/>
                <w:lang w:val="en-US" w:eastAsia="zh-CN"/>
              </w:rPr>
              <w:t>项目所在地已铺设污水管网</w:t>
            </w:r>
            <w:r>
              <w:rPr>
                <w:rFonts w:hint="default" w:ascii="Times New Roman" w:hAnsi="Times New Roman" w:cs="Times New Roman"/>
                <w:color w:val="000000"/>
                <w:highlight w:val="none"/>
                <w:lang w:val="en-US" w:eastAsia="zh-CN"/>
              </w:rPr>
              <w:t>并接入蓬壶镇</w:t>
            </w:r>
            <w:r>
              <w:rPr>
                <w:rFonts w:hint="eastAsia" w:cs="Times New Roman"/>
                <w:color w:val="000000"/>
                <w:highlight w:val="none"/>
                <w:lang w:val="en-US" w:eastAsia="zh-CN"/>
              </w:rPr>
              <w:t>污水处理厂</w:t>
            </w:r>
            <w:r>
              <w:rPr>
                <w:rFonts w:hint="default" w:ascii="Times New Roman" w:hAnsi="Times New Roman" w:cs="Times New Roman"/>
                <w:color w:val="000000"/>
                <w:highlight w:val="none"/>
                <w:lang w:val="en-US" w:eastAsia="zh-CN"/>
              </w:rPr>
              <w:t>污水主干网，项目所处区域属于蓬壶镇污水处理厂管网收集范围内。因此，项目废水接入市政污水管网可行。</w:t>
            </w:r>
          </w:p>
          <w:p w14:paraId="58E112DA">
            <w:pPr>
              <w:pStyle w:val="31"/>
              <w:ind w:firstLine="48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④水质可行性分析</w:t>
            </w:r>
          </w:p>
          <w:p w14:paraId="693CEA67">
            <w:pPr>
              <w:pStyle w:val="12"/>
              <w:pBdr>
                <w:bottom w:val="none" w:color="auto" w:sz="0" w:space="0"/>
              </w:pBdr>
              <w:spacing w:line="360" w:lineRule="auto"/>
              <w:ind w:firstLine="480" w:firstLineChars="200"/>
              <w:jc w:val="left"/>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本项目的废水主要为生活污水，排放的废水浓度满足《污水综合排放标准》</w:t>
            </w:r>
            <w:r>
              <w:rPr>
                <w:rFonts w:hint="eastAsia" w:ascii="Times New Roman" w:hAnsi="Times New Roman" w:eastAsia="宋体" w:cs="Times New Roman"/>
                <w:color w:val="000000"/>
                <w:sz w:val="24"/>
                <w:szCs w:val="24"/>
                <w:highlight w:val="none"/>
                <w:lang w:eastAsia="zh-CN"/>
              </w:rPr>
              <w:t>（GB 8978-1996）</w:t>
            </w:r>
            <w:r>
              <w:rPr>
                <w:rFonts w:hint="default" w:ascii="Times New Roman" w:hAnsi="Times New Roman" w:cs="Times New Roman"/>
                <w:color w:val="000000"/>
                <w:sz w:val="24"/>
                <w:szCs w:val="24"/>
                <w:highlight w:val="none"/>
              </w:rPr>
              <w:t>表4中三级标准（其中，</w:t>
            </w:r>
            <w:r>
              <w:rPr>
                <w:rFonts w:hint="default" w:ascii="Times New Roman" w:hAnsi="Times New Roman" w:cs="Times New Roman"/>
                <w:color w:val="auto"/>
                <w:kern w:val="2"/>
                <w:sz w:val="24"/>
                <w:szCs w:val="24"/>
                <w:highlight w:val="none"/>
              </w:rPr>
              <w:t>NH</w:t>
            </w:r>
            <w:r>
              <w:rPr>
                <w:rFonts w:hint="default" w:ascii="Times New Roman" w:hAnsi="Times New Roman" w:cs="Times New Roman"/>
                <w:color w:val="auto"/>
                <w:kern w:val="2"/>
                <w:sz w:val="24"/>
                <w:szCs w:val="24"/>
                <w:highlight w:val="none"/>
                <w:vertAlign w:val="subscript"/>
              </w:rPr>
              <w:t>3</w:t>
            </w:r>
            <w:r>
              <w:rPr>
                <w:rFonts w:hint="default" w:ascii="Times New Roman" w:hAnsi="Times New Roman" w:cs="Times New Roman"/>
                <w:color w:val="auto"/>
                <w:kern w:val="2"/>
                <w:sz w:val="24"/>
                <w:szCs w:val="24"/>
                <w:highlight w:val="none"/>
              </w:rPr>
              <w:t>-N</w:t>
            </w:r>
            <w:r>
              <w:rPr>
                <w:rFonts w:hint="default" w:ascii="Times New Roman" w:hAnsi="Times New Roman" w:cs="Times New Roman"/>
                <w:color w:val="000000"/>
                <w:sz w:val="24"/>
                <w:szCs w:val="24"/>
                <w:highlight w:val="none"/>
              </w:rPr>
              <w:t>参照执行《污水排入城市下水道水质标准》（</w:t>
            </w:r>
            <w:r>
              <w:rPr>
                <w:rFonts w:hint="eastAsia" w:ascii="Times New Roman" w:hAnsi="Times New Roman" w:eastAsia="宋体" w:cs="Times New Roman"/>
                <w:color w:val="000000"/>
                <w:sz w:val="24"/>
                <w:szCs w:val="24"/>
                <w:highlight w:val="none"/>
                <w:lang w:eastAsia="zh-CN"/>
              </w:rPr>
              <w:t>GB/T 31962-2015</w:t>
            </w:r>
            <w:r>
              <w:rPr>
                <w:rFonts w:hint="default" w:ascii="Times New Roman" w:hAnsi="Times New Roman" w:cs="Times New Roman"/>
                <w:color w:val="000000"/>
                <w:sz w:val="24"/>
                <w:szCs w:val="24"/>
                <w:highlight w:val="none"/>
              </w:rPr>
              <w:t>）表1的B</w:t>
            </w:r>
            <w:r>
              <w:rPr>
                <w:rFonts w:hint="eastAsia" w:ascii="Times New Roman" w:hAnsi="Times New Roman" w:eastAsia="宋体" w:cs="Times New Roman"/>
                <w:color w:val="000000"/>
                <w:sz w:val="24"/>
                <w:szCs w:val="24"/>
                <w:highlight w:val="none"/>
                <w:lang w:val="en-US" w:eastAsia="zh-CN"/>
              </w:rPr>
              <w:t>等</w:t>
            </w:r>
            <w:r>
              <w:rPr>
                <w:rFonts w:hint="default" w:ascii="Times New Roman" w:hAnsi="Times New Roman" w:cs="Times New Roman"/>
                <w:color w:val="000000"/>
                <w:sz w:val="24"/>
                <w:szCs w:val="24"/>
                <w:highlight w:val="none"/>
              </w:rPr>
              <w:t>级标准）要求。详见表4</w:t>
            </w:r>
            <w:r>
              <w:rPr>
                <w:rFonts w:hint="eastAsia" w:ascii="Times New Roman" w:hAnsi="Times New Roman" w:eastAsia="宋体" w:cs="Times New Roman"/>
                <w:color w:val="000000"/>
                <w:sz w:val="24"/>
                <w:szCs w:val="24"/>
                <w:highlight w:val="none"/>
                <w:lang w:val="en-US" w:eastAsia="zh-CN"/>
              </w:rPr>
              <w:t>.1-4</w:t>
            </w:r>
            <w:r>
              <w:rPr>
                <w:rFonts w:hint="default" w:ascii="Times New Roman" w:hAnsi="Times New Roman" w:cs="Times New Roman"/>
                <w:color w:val="000000"/>
                <w:sz w:val="24"/>
                <w:szCs w:val="24"/>
                <w:highlight w:val="none"/>
              </w:rPr>
              <w:t>。</w:t>
            </w:r>
          </w:p>
          <w:p w14:paraId="2A277BE9">
            <w:pPr>
              <w:pStyle w:val="32"/>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表4</w:t>
            </w:r>
            <w:r>
              <w:rPr>
                <w:rFonts w:hint="eastAsia" w:ascii="Times New Roman" w:hAnsi="Times New Roman" w:eastAsia="宋体" w:cs="Times New Roman"/>
                <w:color w:val="000000"/>
                <w:highlight w:val="none"/>
                <w:lang w:val="en-US" w:eastAsia="zh-CN"/>
              </w:rPr>
              <w:t>.1-4</w:t>
            </w:r>
            <w:r>
              <w:rPr>
                <w:rFonts w:hint="default" w:ascii="Times New Roman" w:hAnsi="Times New Roman" w:eastAsia="宋体" w:cs="Times New Roman"/>
                <w:color w:val="000000"/>
                <w:highlight w:val="none"/>
              </w:rPr>
              <w:t xml:space="preserve"> 项目污水排放指标与标准指标对比表 mg/L</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4"/>
              <w:gridCol w:w="1315"/>
              <w:gridCol w:w="1315"/>
              <w:gridCol w:w="1315"/>
              <w:gridCol w:w="1315"/>
            </w:tblGrid>
            <w:tr w14:paraId="6774C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4" w:type="dxa"/>
                  <w:noWrap w:val="0"/>
                  <w:vAlign w:val="center"/>
                </w:tcPr>
                <w:p w14:paraId="6D26E176">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项目</w:t>
                  </w:r>
                </w:p>
              </w:tc>
              <w:tc>
                <w:tcPr>
                  <w:tcW w:w="1315" w:type="dxa"/>
                  <w:noWrap w:val="0"/>
                  <w:vAlign w:val="center"/>
                </w:tcPr>
                <w:p w14:paraId="044DA1F8">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COD</w:t>
                  </w:r>
                </w:p>
              </w:tc>
              <w:tc>
                <w:tcPr>
                  <w:tcW w:w="1315" w:type="dxa"/>
                  <w:noWrap w:val="0"/>
                  <w:vAlign w:val="center"/>
                </w:tcPr>
                <w:p w14:paraId="0035D769">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BOD</w:t>
                  </w:r>
                  <w:r>
                    <w:rPr>
                      <w:rFonts w:hint="default" w:ascii="Times New Roman" w:hAnsi="Times New Roman" w:cs="Times New Roman"/>
                      <w:color w:val="000000"/>
                      <w:highlight w:val="none"/>
                      <w:vertAlign w:val="subscript"/>
                    </w:rPr>
                    <w:t>5</w:t>
                  </w:r>
                </w:p>
              </w:tc>
              <w:tc>
                <w:tcPr>
                  <w:tcW w:w="1315" w:type="dxa"/>
                  <w:noWrap w:val="0"/>
                  <w:vAlign w:val="center"/>
                </w:tcPr>
                <w:p w14:paraId="5CA411CA">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NH</w:t>
                  </w:r>
                  <w:r>
                    <w:rPr>
                      <w:rFonts w:hint="default" w:ascii="Times New Roman" w:hAnsi="Times New Roman" w:cs="Times New Roman"/>
                      <w:color w:val="000000"/>
                      <w:highlight w:val="none"/>
                      <w:vertAlign w:val="subscript"/>
                    </w:rPr>
                    <w:t>3</w:t>
                  </w:r>
                  <w:r>
                    <w:rPr>
                      <w:rFonts w:hint="default" w:ascii="Times New Roman" w:hAnsi="Times New Roman" w:cs="Times New Roman"/>
                      <w:color w:val="000000"/>
                      <w:highlight w:val="none"/>
                    </w:rPr>
                    <w:t>-N</w:t>
                  </w:r>
                </w:p>
              </w:tc>
              <w:tc>
                <w:tcPr>
                  <w:tcW w:w="1315" w:type="dxa"/>
                  <w:noWrap w:val="0"/>
                  <w:vAlign w:val="center"/>
                </w:tcPr>
                <w:p w14:paraId="404C8A2D">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SS</w:t>
                  </w:r>
                </w:p>
              </w:tc>
            </w:tr>
            <w:tr w14:paraId="6F43E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4" w:type="dxa"/>
                  <w:noWrap w:val="0"/>
                  <w:vAlign w:val="center"/>
                </w:tcPr>
                <w:p w14:paraId="53142BDF">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生活污水经化粪池处理后</w:t>
                  </w:r>
                </w:p>
              </w:tc>
              <w:tc>
                <w:tcPr>
                  <w:tcW w:w="1315" w:type="dxa"/>
                  <w:noWrap w:val="0"/>
                  <w:vAlign w:val="center"/>
                </w:tcPr>
                <w:p w14:paraId="7AB9511E">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300</w:t>
                  </w:r>
                </w:p>
              </w:tc>
              <w:tc>
                <w:tcPr>
                  <w:tcW w:w="1315" w:type="dxa"/>
                  <w:noWrap w:val="0"/>
                  <w:vAlign w:val="center"/>
                </w:tcPr>
                <w:p w14:paraId="57F35FB6">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100</w:t>
                  </w:r>
                </w:p>
              </w:tc>
              <w:tc>
                <w:tcPr>
                  <w:tcW w:w="1315" w:type="dxa"/>
                  <w:noWrap w:val="0"/>
                  <w:vAlign w:val="center"/>
                </w:tcPr>
                <w:p w14:paraId="6D353CDD">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29.75</w:t>
                  </w:r>
                </w:p>
              </w:tc>
              <w:tc>
                <w:tcPr>
                  <w:tcW w:w="1315" w:type="dxa"/>
                  <w:noWrap w:val="0"/>
                  <w:vAlign w:val="center"/>
                </w:tcPr>
                <w:p w14:paraId="3709D9A1">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154</w:t>
                  </w:r>
                </w:p>
              </w:tc>
            </w:tr>
            <w:tr w14:paraId="42D2C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94" w:type="dxa"/>
                  <w:noWrap w:val="0"/>
                  <w:vAlign w:val="center"/>
                </w:tcPr>
                <w:p w14:paraId="52A3DDA7">
                  <w:pPr>
                    <w:pStyle w:val="33"/>
                    <w:spacing w:line="240" w:lineRule="auto"/>
                    <w:rPr>
                      <w:rFonts w:hint="default" w:ascii="Times New Roman" w:hAnsi="Times New Roman" w:cs="Times New Roman"/>
                      <w:color w:val="000000"/>
                      <w:highlight w:val="none"/>
                    </w:rPr>
                  </w:pPr>
                  <w:r>
                    <w:rPr>
                      <w:rFonts w:hint="eastAsia" w:ascii="Times New Roman" w:hAnsi="Times New Roman" w:eastAsia="宋体" w:cs="Times New Roman"/>
                      <w:color w:val="000000"/>
                      <w:highlight w:val="none"/>
                      <w:lang w:eastAsia="zh-CN"/>
                    </w:rPr>
                    <w:t>GB 8978-1996</w:t>
                  </w:r>
                  <w:r>
                    <w:rPr>
                      <w:rFonts w:hint="default" w:ascii="Times New Roman" w:hAnsi="Times New Roman" w:cs="Times New Roman"/>
                      <w:color w:val="000000"/>
                      <w:highlight w:val="none"/>
                    </w:rPr>
                    <w:t>三级指标及</w:t>
                  </w:r>
                  <w:r>
                    <w:rPr>
                      <w:rFonts w:hint="eastAsia" w:ascii="Times New Roman" w:hAnsi="Times New Roman" w:eastAsia="宋体" w:cs="Times New Roman"/>
                      <w:color w:val="000000"/>
                      <w:highlight w:val="none"/>
                      <w:lang w:eastAsia="zh-CN"/>
                    </w:rPr>
                    <w:t>GB/T 31962-2015</w:t>
                  </w:r>
                  <w:r>
                    <w:rPr>
                      <w:rFonts w:hint="default" w:ascii="Times New Roman" w:hAnsi="Times New Roman" w:cs="Times New Roman"/>
                      <w:color w:val="000000"/>
                      <w:highlight w:val="none"/>
                    </w:rPr>
                    <w:t>B</w:t>
                  </w:r>
                  <w:r>
                    <w:rPr>
                      <w:rFonts w:hint="eastAsia" w:ascii="Times New Roman" w:hAnsi="Times New Roman" w:eastAsia="宋体" w:cs="Times New Roman"/>
                      <w:color w:val="000000"/>
                      <w:highlight w:val="none"/>
                      <w:lang w:val="en-US" w:eastAsia="zh-CN"/>
                    </w:rPr>
                    <w:t>等</w:t>
                  </w:r>
                  <w:r>
                    <w:rPr>
                      <w:rFonts w:hint="default" w:ascii="Times New Roman" w:hAnsi="Times New Roman" w:cs="Times New Roman"/>
                      <w:color w:val="000000"/>
                      <w:highlight w:val="none"/>
                    </w:rPr>
                    <w:t>级指标</w:t>
                  </w:r>
                </w:p>
              </w:tc>
              <w:tc>
                <w:tcPr>
                  <w:tcW w:w="1315" w:type="dxa"/>
                  <w:noWrap w:val="0"/>
                  <w:vAlign w:val="center"/>
                </w:tcPr>
                <w:p w14:paraId="3774ECD3">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500</w:t>
                  </w:r>
                </w:p>
              </w:tc>
              <w:tc>
                <w:tcPr>
                  <w:tcW w:w="1315" w:type="dxa"/>
                  <w:noWrap w:val="0"/>
                  <w:vAlign w:val="center"/>
                </w:tcPr>
                <w:p w14:paraId="69F21FDB">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300</w:t>
                  </w:r>
                </w:p>
              </w:tc>
              <w:tc>
                <w:tcPr>
                  <w:tcW w:w="1315" w:type="dxa"/>
                  <w:noWrap w:val="0"/>
                  <w:vAlign w:val="center"/>
                </w:tcPr>
                <w:p w14:paraId="6BD05F82">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45</w:t>
                  </w:r>
                </w:p>
              </w:tc>
              <w:tc>
                <w:tcPr>
                  <w:tcW w:w="1315" w:type="dxa"/>
                  <w:noWrap w:val="0"/>
                  <w:vAlign w:val="center"/>
                </w:tcPr>
                <w:p w14:paraId="54D462EB">
                  <w:pPr>
                    <w:pStyle w:val="33"/>
                    <w:spacing w:line="240" w:lineRule="auto"/>
                    <w:rPr>
                      <w:rFonts w:hint="default" w:ascii="Times New Roman" w:hAnsi="Times New Roman" w:cs="Times New Roman"/>
                      <w:color w:val="000000"/>
                      <w:highlight w:val="none"/>
                    </w:rPr>
                  </w:pPr>
                  <w:r>
                    <w:rPr>
                      <w:rFonts w:hint="default" w:ascii="Times New Roman" w:hAnsi="Times New Roman" w:cs="Times New Roman"/>
                      <w:color w:val="000000"/>
                      <w:highlight w:val="none"/>
                    </w:rPr>
                    <w:t>400</w:t>
                  </w:r>
                </w:p>
              </w:tc>
            </w:tr>
          </w:tbl>
          <w:p w14:paraId="11EFBEC5">
            <w:pPr>
              <w:pStyle w:val="12"/>
              <w:pBdr>
                <w:bottom w:val="none" w:color="auto" w:sz="0" w:space="0"/>
              </w:pBdr>
              <w:spacing w:line="360" w:lineRule="auto"/>
              <w:ind w:firstLine="480" w:firstLineChars="200"/>
              <w:jc w:val="left"/>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⑤水量负荷</w:t>
            </w:r>
          </w:p>
          <w:p w14:paraId="56A39BC1">
            <w:pPr>
              <w:pStyle w:val="12"/>
              <w:pBdr>
                <w:bottom w:val="none" w:color="auto" w:sz="0" w:space="0"/>
              </w:pBdr>
              <w:spacing w:line="360" w:lineRule="auto"/>
              <w:ind w:firstLine="480" w:firstLineChars="200"/>
              <w:jc w:val="left"/>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根据《永春县绿地水务有限公司自行监测方案》显示，永春县蓬壶镇污水处理厂目前处理能力为1</w:t>
            </w:r>
            <w:r>
              <w:rPr>
                <w:rFonts w:hint="eastAsia" w:ascii="Times New Roman" w:hAnsi="Times New Roman" w:eastAsia="宋体" w:cs="Times New Roman"/>
                <w:color w:val="000000"/>
                <w:sz w:val="24"/>
                <w:szCs w:val="24"/>
                <w:highlight w:val="none"/>
                <w:lang w:val="en-US" w:eastAsia="zh-CN"/>
              </w:rPr>
              <w:t>0000</w:t>
            </w:r>
            <w:r>
              <w:rPr>
                <w:rFonts w:hint="default" w:ascii="Times New Roman" w:hAnsi="Times New Roman" w:eastAsia="宋体" w:cs="Times New Roman"/>
                <w:color w:val="000000"/>
                <w:sz w:val="24"/>
                <w:szCs w:val="24"/>
                <w:highlight w:val="none"/>
                <w:lang w:val="en-US" w:eastAsia="zh-CN"/>
              </w:rPr>
              <w:t>t/d，实际日处理量约为5000吨。本项目接管后，日外排最大废水量</w:t>
            </w:r>
            <w:r>
              <w:rPr>
                <w:rFonts w:hint="eastAsia" w:ascii="Times New Roman" w:hAnsi="Times New Roman" w:eastAsia="宋体" w:cs="Times New Roman"/>
                <w:color w:val="000000"/>
                <w:sz w:val="24"/>
                <w:szCs w:val="24"/>
                <w:highlight w:val="none"/>
                <w:lang w:val="en-US" w:eastAsia="zh-CN"/>
              </w:rPr>
              <w:t>仅</w:t>
            </w:r>
            <w:r>
              <w:rPr>
                <w:rFonts w:hint="default" w:ascii="Times New Roman" w:hAnsi="Times New Roman" w:eastAsia="宋体" w:cs="Times New Roman"/>
                <w:color w:val="000000"/>
                <w:sz w:val="24"/>
                <w:szCs w:val="24"/>
                <w:highlight w:val="none"/>
                <w:lang w:val="en-US" w:eastAsia="zh-CN"/>
              </w:rPr>
              <w:t>为3.4t/d</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皆为生活污水，占目前污水处理厂处理余量的0.034%，因此，永春县蓬壶镇污水处理厂完全具有接纳本项目污水的能力。项目废水纳入永春县蓬壶镇污水处理厂统一处理不会影响其正常运行。</w:t>
            </w:r>
          </w:p>
          <w:p w14:paraId="321660E4">
            <w:pPr>
              <w:pStyle w:val="12"/>
              <w:pBdr>
                <w:bottom w:val="none" w:color="auto" w:sz="0" w:space="0"/>
              </w:pBdr>
              <w:spacing w:line="360" w:lineRule="auto"/>
              <w:ind w:firstLine="480" w:firstLineChars="200"/>
              <w:jc w:val="left"/>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综上</w:t>
            </w:r>
            <w:r>
              <w:rPr>
                <w:rFonts w:hint="eastAsia" w:ascii="Times New Roman" w:hAnsi="Times New Roman" w:eastAsia="宋体" w:cs="Times New Roman"/>
                <w:color w:val="000000"/>
                <w:sz w:val="24"/>
                <w:szCs w:val="24"/>
                <w:highlight w:val="none"/>
                <w:lang w:val="en-US" w:eastAsia="zh-CN"/>
              </w:rPr>
              <w:t>所述</w:t>
            </w:r>
            <w:r>
              <w:rPr>
                <w:rFonts w:hint="default" w:ascii="Times New Roman" w:hAnsi="Times New Roman" w:eastAsia="宋体" w:cs="Times New Roman"/>
                <w:color w:val="000000"/>
                <w:sz w:val="24"/>
                <w:szCs w:val="24"/>
                <w:highlight w:val="none"/>
                <w:lang w:val="en-US" w:eastAsia="zh-CN"/>
              </w:rPr>
              <w:t>，项目生活污水排水去向符合市政规划，废水排放符合污水处理厂要求。项目生活污水纳入</w:t>
            </w:r>
            <w:r>
              <w:rPr>
                <w:rFonts w:hint="eastAsia" w:ascii="Times New Roman" w:hAnsi="Times New Roman" w:eastAsia="宋体" w:cs="Times New Roman"/>
                <w:color w:val="000000"/>
                <w:sz w:val="24"/>
                <w:szCs w:val="24"/>
                <w:highlight w:val="none"/>
                <w:lang w:val="en-US" w:eastAsia="zh-CN"/>
              </w:rPr>
              <w:t>蓬壶镇</w:t>
            </w:r>
            <w:r>
              <w:rPr>
                <w:rFonts w:hint="default" w:ascii="Times New Roman" w:hAnsi="Times New Roman" w:eastAsia="宋体" w:cs="Times New Roman"/>
                <w:color w:val="000000"/>
                <w:sz w:val="24"/>
                <w:szCs w:val="24"/>
                <w:highlight w:val="none"/>
                <w:lang w:val="en-US" w:eastAsia="zh-CN"/>
              </w:rPr>
              <w:t>污水处理厂统一处理是可行的。</w:t>
            </w:r>
          </w:p>
          <w:p w14:paraId="3730D94C">
            <w:pPr>
              <w:pStyle w:val="31"/>
              <w:ind w:left="0" w:leftChars="0" w:firstLine="0" w:firstLineChars="0"/>
              <w:rPr>
                <w:rFonts w:hint="eastAsia" w:ascii="Times New Roman" w:hAnsi="Times New Roman" w:cs="Times New Roman"/>
                <w:b/>
                <w:bCs/>
                <w:color w:val="000000"/>
                <w:highlight w:val="none"/>
                <w:lang w:val="en-US" w:eastAsia="zh-CN"/>
              </w:rPr>
            </w:pPr>
            <w:r>
              <w:rPr>
                <w:rFonts w:hint="eastAsia" w:ascii="Times New Roman" w:hAnsi="Times New Roman" w:cs="Times New Roman"/>
                <w:b/>
                <w:bCs/>
                <w:color w:val="000000"/>
                <w:highlight w:val="none"/>
                <w:lang w:val="en-US" w:eastAsia="zh-CN"/>
              </w:rPr>
              <w:t>4.1.5 监测要求</w:t>
            </w:r>
          </w:p>
          <w:p w14:paraId="6B406798">
            <w:pPr>
              <w:spacing w:before="120" w:beforeLines="50" w:line="360" w:lineRule="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根据《排污单位自行监测技术指南 总则》（HJ 819-2017），项目属于非重点排污单位，且项目不产生生产废水，外排污水仅为生活污水，通过市政管网排入蓬壶镇污水处理厂，按照相关自行监测规定，企业可不展开自行监测。</w:t>
            </w:r>
          </w:p>
          <w:p w14:paraId="31C9B0A3">
            <w:pPr>
              <w:spacing w:before="120" w:beforeLines="50" w:line="360" w:lineRule="auto"/>
              <w:rPr>
                <w:b/>
                <w:bCs/>
                <w:sz w:val="28"/>
                <w:szCs w:val="22"/>
                <w:highlight w:val="none"/>
              </w:rPr>
            </w:pPr>
            <w:r>
              <w:rPr>
                <w:rFonts w:ascii="Times New Roman" w:hAnsi="Times New Roman" w:cs="Times New Roman"/>
                <w:b/>
                <w:bCs/>
                <w:sz w:val="28"/>
                <w:szCs w:val="22"/>
                <w:highlight w:val="none"/>
              </w:rPr>
              <w:t>4</w:t>
            </w:r>
            <w:r>
              <w:rPr>
                <w:b/>
                <w:bCs/>
                <w:sz w:val="28"/>
                <w:szCs w:val="22"/>
                <w:highlight w:val="none"/>
              </w:rPr>
              <w:t>.</w:t>
            </w:r>
            <w:r>
              <w:rPr>
                <w:rFonts w:ascii="Times New Roman" w:hAnsi="Times New Roman" w:cs="Times New Roman"/>
                <w:b/>
                <w:bCs/>
                <w:sz w:val="28"/>
                <w:szCs w:val="22"/>
                <w:highlight w:val="none"/>
              </w:rPr>
              <w:t>2</w:t>
            </w:r>
            <w:r>
              <w:rPr>
                <w:b/>
                <w:bCs/>
                <w:sz w:val="28"/>
                <w:szCs w:val="22"/>
                <w:highlight w:val="none"/>
              </w:rPr>
              <w:t>运营期废气环境影响和保护措施</w:t>
            </w:r>
          </w:p>
          <w:p w14:paraId="6CD7470B">
            <w:pPr>
              <w:spacing w:line="360" w:lineRule="auto"/>
              <w:rPr>
                <w:b/>
                <w:bCs/>
                <w:color w:val="000000"/>
                <w:sz w:val="24"/>
                <w:highlight w:val="none"/>
              </w:rPr>
            </w:pPr>
            <w:r>
              <w:rPr>
                <w:rFonts w:ascii="Times New Roman" w:hAnsi="Times New Roman" w:cs="Times New Roman"/>
                <w:b/>
                <w:bCs/>
                <w:sz w:val="24"/>
                <w:highlight w:val="none"/>
              </w:rPr>
              <w:t>4</w:t>
            </w:r>
            <w:r>
              <w:rPr>
                <w:b/>
                <w:bCs/>
                <w:sz w:val="24"/>
                <w:highlight w:val="none"/>
              </w:rPr>
              <w:t>.</w:t>
            </w:r>
            <w:r>
              <w:rPr>
                <w:rFonts w:ascii="Times New Roman" w:hAnsi="Times New Roman" w:cs="Times New Roman"/>
                <w:b/>
                <w:bCs/>
                <w:sz w:val="24"/>
                <w:highlight w:val="none"/>
              </w:rPr>
              <w:t>2</w:t>
            </w:r>
            <w:r>
              <w:rPr>
                <w:b/>
                <w:bCs/>
                <w:sz w:val="24"/>
                <w:highlight w:val="none"/>
              </w:rPr>
              <w:t>.</w:t>
            </w:r>
            <w:r>
              <w:rPr>
                <w:rFonts w:ascii="Times New Roman" w:hAnsi="Times New Roman" w:cs="Times New Roman"/>
                <w:b/>
                <w:bCs/>
                <w:sz w:val="24"/>
                <w:highlight w:val="none"/>
              </w:rPr>
              <w:t>1</w:t>
            </w:r>
            <w:r>
              <w:rPr>
                <w:b/>
                <w:bCs/>
                <w:color w:val="000000"/>
                <w:sz w:val="24"/>
                <w:highlight w:val="none"/>
              </w:rPr>
              <w:t>运营期废</w:t>
            </w:r>
            <w:r>
              <w:rPr>
                <w:rFonts w:hint="eastAsia"/>
                <w:b/>
                <w:bCs/>
                <w:color w:val="000000"/>
                <w:sz w:val="24"/>
                <w:highlight w:val="none"/>
              </w:rPr>
              <w:t>气</w:t>
            </w:r>
            <w:r>
              <w:rPr>
                <w:b/>
                <w:bCs/>
                <w:color w:val="000000"/>
                <w:sz w:val="24"/>
                <w:highlight w:val="none"/>
              </w:rPr>
              <w:t>源强核算</w:t>
            </w:r>
          </w:p>
          <w:p w14:paraId="69F64B10">
            <w:pPr>
              <w:pStyle w:val="12"/>
              <w:pBdr>
                <w:bottom w:val="none" w:color="auto" w:sz="0" w:space="0"/>
              </w:pBdr>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利用高频机低温压合成型，工作温度控制在60℃左右，远低于PVC膜高温分解的130℃和TPU膜高温分解的200℃，压合过程为低温快速压合。此项生产工艺、设备及产品与福建瑞星红休闲用品有限公司均相似，因此，本项目和福建瑞星红休闲用品有限公司之间具有可比性，详见下表4.2-1。</w:t>
            </w:r>
          </w:p>
          <w:p w14:paraId="70553302">
            <w:pPr>
              <w:pStyle w:val="32"/>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w:t>
            </w:r>
            <w:r>
              <w:rPr>
                <w:rFonts w:hint="eastAsia"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 xml:space="preserve"> 本项目与同类型企业对比情况表</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215"/>
              <w:gridCol w:w="1120"/>
              <w:gridCol w:w="1249"/>
              <w:gridCol w:w="1694"/>
              <w:gridCol w:w="770"/>
              <w:gridCol w:w="1087"/>
            </w:tblGrid>
            <w:tr w14:paraId="37F1E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Align w:val="center"/>
                </w:tcPr>
                <w:p w14:paraId="0BF54DFD">
                  <w:pPr>
                    <w:pStyle w:val="33"/>
                    <w:spacing w:line="340" w:lineRule="exact"/>
                    <w:jc w:val="center"/>
                    <w:rPr>
                      <w:rFonts w:hint="default" w:ascii="Times New Roman" w:hAnsi="Times New Roman" w:cs="Times New Roman"/>
                      <w:bCs/>
                      <w:szCs w:val="21"/>
                      <w:highlight w:val="none"/>
                    </w:rPr>
                  </w:pPr>
                  <w:r>
                    <w:rPr>
                      <w:rFonts w:hint="default" w:ascii="Times New Roman" w:hAnsi="Times New Roman" w:cs="Times New Roman"/>
                      <w:color w:val="auto"/>
                      <w:sz w:val="21"/>
                      <w:szCs w:val="21"/>
                      <w:highlight w:val="none"/>
                    </w:rPr>
                    <w:t>名称</w:t>
                  </w:r>
                </w:p>
              </w:tc>
              <w:tc>
                <w:tcPr>
                  <w:tcW w:w="1269" w:type="dxa"/>
                  <w:vAlign w:val="center"/>
                </w:tcPr>
                <w:p w14:paraId="72389781">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原材料</w:t>
                  </w:r>
                </w:p>
              </w:tc>
              <w:tc>
                <w:tcPr>
                  <w:tcW w:w="1170" w:type="dxa"/>
                  <w:vAlign w:val="center"/>
                </w:tcPr>
                <w:p w14:paraId="15FAFA13">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生产设备</w:t>
                  </w:r>
                </w:p>
              </w:tc>
              <w:tc>
                <w:tcPr>
                  <w:tcW w:w="1305" w:type="dxa"/>
                  <w:vAlign w:val="center"/>
                </w:tcPr>
                <w:p w14:paraId="5955561C">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规模</w:t>
                  </w:r>
                </w:p>
              </w:tc>
              <w:tc>
                <w:tcPr>
                  <w:tcW w:w="1770" w:type="dxa"/>
                  <w:vAlign w:val="center"/>
                </w:tcPr>
                <w:p w14:paraId="6AFD2D2A">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生产工艺</w:t>
                  </w:r>
                </w:p>
              </w:tc>
              <w:tc>
                <w:tcPr>
                  <w:tcW w:w="804" w:type="dxa"/>
                  <w:vAlign w:val="center"/>
                </w:tcPr>
                <w:p w14:paraId="19226D23">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最终产品</w:t>
                  </w:r>
                </w:p>
              </w:tc>
              <w:tc>
                <w:tcPr>
                  <w:tcW w:w="1136" w:type="dxa"/>
                  <w:vAlign w:val="center"/>
                </w:tcPr>
                <w:p w14:paraId="31AE26FB">
                  <w:pPr>
                    <w:pStyle w:val="33"/>
                    <w:spacing w:line="34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废弃生产</w:t>
                  </w:r>
                </w:p>
                <w:p w14:paraId="61C59383">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情况</w:t>
                  </w:r>
                </w:p>
              </w:tc>
            </w:tr>
            <w:tr w14:paraId="6805A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Align w:val="center"/>
                </w:tcPr>
                <w:p w14:paraId="702E4A70">
                  <w:pPr>
                    <w:keepNext w:val="0"/>
                    <w:keepLines w:val="0"/>
                    <w:widowControl/>
                    <w:suppressLineNumbers w:val="0"/>
                    <w:jc w:val="center"/>
                    <w:rPr>
                      <w:rFonts w:hint="default" w:ascii="Times New Roman" w:hAnsi="Times New Roman" w:cs="Times New Roman"/>
                      <w:bCs/>
                      <w:szCs w:val="21"/>
                      <w:highlight w:val="none"/>
                    </w:rPr>
                  </w:pPr>
                  <w:r>
                    <w:rPr>
                      <w:rFonts w:hint="eastAsia" w:ascii="宋体" w:hAnsi="宋体" w:eastAsia="宋体" w:cs="宋体"/>
                      <w:snapToGrid w:val="0"/>
                      <w:color w:val="auto"/>
                      <w:kern w:val="0"/>
                      <w:sz w:val="21"/>
                      <w:szCs w:val="21"/>
                      <w:highlight w:val="none"/>
                      <w:lang w:val="en-US" w:eastAsia="zh-CN" w:bidi="ar"/>
                    </w:rPr>
                    <w:t>瑞星红充气床迁扩建项目</w:t>
                  </w:r>
                </w:p>
              </w:tc>
              <w:tc>
                <w:tcPr>
                  <w:tcW w:w="1269" w:type="dxa"/>
                  <w:vAlign w:val="center"/>
                </w:tcPr>
                <w:p w14:paraId="72000FAD">
                  <w:pPr>
                    <w:pStyle w:val="33"/>
                    <w:spacing w:line="340" w:lineRule="exact"/>
                    <w:jc w:val="center"/>
                    <w:rPr>
                      <w:rFonts w:hint="default" w:ascii="Times New Roman" w:hAnsi="Times New Roman" w:cs="Times New Roman"/>
                      <w:bCs/>
                      <w:szCs w:val="21"/>
                      <w:highlight w:val="none"/>
                    </w:rPr>
                  </w:pPr>
                  <w:r>
                    <w:rPr>
                      <w:rFonts w:hint="default" w:ascii="Times New Roman" w:hAnsi="Times New Roman" w:cs="Times New Roman"/>
                      <w:color w:val="auto"/>
                      <w:sz w:val="21"/>
                      <w:szCs w:val="21"/>
                      <w:highlight w:val="none"/>
                      <w:lang w:val="en-US" w:eastAsia="zh-CN"/>
                    </w:rPr>
                    <w:t>PVC膜</w:t>
                  </w:r>
                </w:p>
              </w:tc>
              <w:tc>
                <w:tcPr>
                  <w:tcW w:w="1170" w:type="dxa"/>
                  <w:vMerge w:val="restart"/>
                  <w:vAlign w:val="center"/>
                </w:tcPr>
                <w:p w14:paraId="2893EFD2">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eastAsia="宋体" w:cs="Times New Roman"/>
                      <w:color w:val="auto"/>
                      <w:spacing w:val="2"/>
                      <w:sz w:val="21"/>
                      <w:szCs w:val="21"/>
                      <w:highlight w:val="none"/>
                      <w:lang w:val="en-US" w:eastAsia="zh-CN"/>
                    </w:rPr>
                    <w:t>高频机</w:t>
                  </w:r>
                </w:p>
              </w:tc>
              <w:tc>
                <w:tcPr>
                  <w:tcW w:w="1305" w:type="dxa"/>
                  <w:vAlign w:val="center"/>
                </w:tcPr>
                <w:p w14:paraId="651BBC6C">
                  <w:pPr>
                    <w:pStyle w:val="33"/>
                    <w:spacing w:line="340" w:lineRule="exact"/>
                    <w:jc w:val="center"/>
                    <w:rPr>
                      <w:rFonts w:hint="default" w:ascii="Times New Roman" w:hAnsi="Times New Roman" w:cs="Times New Roman"/>
                      <w:bCs/>
                      <w:szCs w:val="21"/>
                      <w:highlight w:val="none"/>
                    </w:rPr>
                  </w:pPr>
                  <w:r>
                    <w:rPr>
                      <w:rFonts w:ascii="Times New Roman" w:hAnsi="Times New Roman" w:eastAsia="Times New Roman" w:cs="Times New Roman"/>
                      <w:color w:val="auto"/>
                      <w:spacing w:val="2"/>
                      <w:sz w:val="21"/>
                      <w:szCs w:val="21"/>
                      <w:highlight w:val="none"/>
                    </w:rPr>
                    <w:t>130</w:t>
                  </w:r>
                  <w:r>
                    <w:rPr>
                      <w:rFonts w:ascii="新宋体" w:hAnsi="新宋体" w:eastAsia="新宋体" w:cs="新宋体"/>
                      <w:color w:val="auto"/>
                      <w:spacing w:val="2"/>
                      <w:sz w:val="21"/>
                      <w:szCs w:val="21"/>
                      <w:highlight w:val="none"/>
                    </w:rPr>
                    <w:t>万件</w:t>
                  </w:r>
                  <w:r>
                    <w:rPr>
                      <w:rFonts w:ascii="Times New Roman" w:hAnsi="Times New Roman" w:eastAsia="Times New Roman" w:cs="Times New Roman"/>
                      <w:color w:val="auto"/>
                      <w:spacing w:val="2"/>
                      <w:sz w:val="21"/>
                      <w:szCs w:val="21"/>
                      <w:highlight w:val="none"/>
                    </w:rPr>
                    <w:t>/a</w:t>
                  </w:r>
                </w:p>
              </w:tc>
              <w:tc>
                <w:tcPr>
                  <w:tcW w:w="1770" w:type="dxa"/>
                  <w:vMerge w:val="restart"/>
                  <w:vAlign w:val="center"/>
                </w:tcPr>
                <w:p w14:paraId="399EED9E">
                  <w:pPr>
                    <w:pStyle w:val="33"/>
                    <w:spacing w:line="340" w:lineRule="exact"/>
                    <w:jc w:val="center"/>
                    <w:rPr>
                      <w:rFonts w:hint="eastAsia" w:ascii="Times New Roman" w:hAnsi="Times New Roman" w:eastAsia="宋体" w:cs="Times New Roman"/>
                      <w:bCs/>
                      <w:szCs w:val="21"/>
                      <w:highlight w:val="none"/>
                      <w:lang w:eastAsia="zh-CN"/>
                    </w:rPr>
                  </w:pPr>
                  <w:r>
                    <w:rPr>
                      <w:rFonts w:hint="default" w:ascii="Times New Roman" w:hAnsi="Times New Roman" w:cs="Times New Roman"/>
                      <w:color w:val="auto"/>
                      <w:sz w:val="21"/>
                      <w:szCs w:val="21"/>
                      <w:highlight w:val="none"/>
                    </w:rPr>
                    <w:t>使用高频机进行压合成型封口处理，工作温度控制在60℃左右，低温快速压合</w:t>
                  </w:r>
                </w:p>
              </w:tc>
              <w:tc>
                <w:tcPr>
                  <w:tcW w:w="804" w:type="dxa"/>
                  <w:vMerge w:val="restart"/>
                  <w:vAlign w:val="center"/>
                </w:tcPr>
                <w:p w14:paraId="02E04EA7">
                  <w:pPr>
                    <w:pStyle w:val="33"/>
                    <w:spacing w:line="340" w:lineRule="exact"/>
                    <w:jc w:val="center"/>
                    <w:rPr>
                      <w:rFonts w:hint="default" w:ascii="Times New Roman" w:hAnsi="Times New Roman" w:cs="Times New Roman"/>
                      <w:bCs/>
                      <w:szCs w:val="21"/>
                      <w:highlight w:val="none"/>
                    </w:rPr>
                  </w:pPr>
                  <w:r>
                    <w:rPr>
                      <w:rFonts w:hint="eastAsia" w:ascii="Times New Roman" w:hAnsi="Times New Roman" w:cs="Times New Roman"/>
                      <w:color w:val="auto"/>
                      <w:sz w:val="21"/>
                      <w:szCs w:val="21"/>
                      <w:highlight w:val="none"/>
                      <w:lang w:val="en-US" w:eastAsia="zh-CN"/>
                    </w:rPr>
                    <w:t>充气床</w:t>
                  </w:r>
                </w:p>
              </w:tc>
              <w:tc>
                <w:tcPr>
                  <w:tcW w:w="1136" w:type="dxa"/>
                  <w:vMerge w:val="restart"/>
                  <w:vAlign w:val="center"/>
                </w:tcPr>
                <w:p w14:paraId="60A190BE">
                  <w:pPr>
                    <w:pStyle w:val="33"/>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cs="Times New Roman"/>
                      <w:color w:val="auto"/>
                      <w:sz w:val="21"/>
                      <w:szCs w:val="21"/>
                      <w:highlight w:val="none"/>
                      <w:lang w:val="en-US" w:eastAsia="zh-CN"/>
                    </w:rPr>
                    <w:t>废气产生量极小，可忽略不计</w:t>
                  </w:r>
                </w:p>
              </w:tc>
            </w:tr>
            <w:tr w14:paraId="0C4F4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dxa"/>
                  <w:shd w:val="clear" w:color="auto" w:fill="auto"/>
                  <w:vAlign w:val="center"/>
                </w:tcPr>
                <w:p w14:paraId="34415DAF">
                  <w:pPr>
                    <w:pStyle w:val="33"/>
                    <w:spacing w:line="340" w:lineRule="exact"/>
                    <w:jc w:val="center"/>
                    <w:rPr>
                      <w:rFonts w:hint="default" w:ascii="Times New Roman" w:hAnsi="Times New Roman" w:eastAsia="Arial"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本项目</w:t>
                  </w:r>
                </w:p>
              </w:tc>
              <w:tc>
                <w:tcPr>
                  <w:tcW w:w="1269" w:type="dxa"/>
                  <w:shd w:val="clear" w:color="auto" w:fill="auto"/>
                  <w:vAlign w:val="center"/>
                </w:tcPr>
                <w:p w14:paraId="729ECF82">
                  <w:pPr>
                    <w:pStyle w:val="33"/>
                    <w:spacing w:line="340" w:lineRule="exact"/>
                    <w:jc w:val="center"/>
                    <w:rPr>
                      <w:rFonts w:hint="eastAsia" w:ascii="Times New Roman" w:hAnsi="Times New Roman" w:eastAsia="Arial"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PVC膜</w:t>
                  </w:r>
                  <w:r>
                    <w:rPr>
                      <w:rFonts w:hint="eastAsia" w:ascii="Times New Roman" w:hAnsi="Times New Roman" w:cs="Times New Roman"/>
                      <w:color w:val="auto"/>
                      <w:sz w:val="21"/>
                      <w:szCs w:val="21"/>
                      <w:highlight w:val="none"/>
                      <w:lang w:val="en-US" w:eastAsia="zh-CN"/>
                    </w:rPr>
                    <w:t>、TPU膜</w:t>
                  </w:r>
                </w:p>
              </w:tc>
              <w:tc>
                <w:tcPr>
                  <w:tcW w:w="1170" w:type="dxa"/>
                  <w:vMerge w:val="continue"/>
                  <w:shd w:val="clear" w:color="auto" w:fill="auto"/>
                  <w:vAlign w:val="center"/>
                </w:tcPr>
                <w:p w14:paraId="7E026479">
                  <w:pPr>
                    <w:pStyle w:val="33"/>
                    <w:spacing w:line="340" w:lineRule="exact"/>
                    <w:jc w:val="center"/>
                    <w:rPr>
                      <w:rFonts w:hint="eastAsia" w:ascii="Times New Roman" w:hAnsi="Times New Roman" w:eastAsia="Arial" w:cs="Times New Roman"/>
                      <w:snapToGrid w:val="0"/>
                      <w:color w:val="auto"/>
                      <w:kern w:val="0"/>
                      <w:sz w:val="21"/>
                      <w:szCs w:val="21"/>
                      <w:highlight w:val="none"/>
                      <w:lang w:val="en-US" w:eastAsia="zh-CN" w:bidi="ar-SA"/>
                    </w:rPr>
                  </w:pPr>
                </w:p>
              </w:tc>
              <w:tc>
                <w:tcPr>
                  <w:tcW w:w="1305" w:type="dxa"/>
                  <w:shd w:val="clear" w:color="auto" w:fill="auto"/>
                  <w:vAlign w:val="center"/>
                </w:tcPr>
                <w:p w14:paraId="6F69589E">
                  <w:pPr>
                    <w:pStyle w:val="33"/>
                    <w:spacing w:line="340" w:lineRule="exact"/>
                    <w:jc w:val="center"/>
                    <w:rPr>
                      <w:rFonts w:hint="eastAsia" w:ascii="Times New Roman" w:hAnsi="Times New Roman" w:eastAsia="Arial"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150万个/a</w:t>
                  </w:r>
                </w:p>
              </w:tc>
              <w:tc>
                <w:tcPr>
                  <w:tcW w:w="1770" w:type="dxa"/>
                  <w:vMerge w:val="continue"/>
                  <w:vAlign w:val="center"/>
                </w:tcPr>
                <w:p w14:paraId="5159EDA2">
                  <w:pPr>
                    <w:spacing w:line="340" w:lineRule="exact"/>
                    <w:jc w:val="center"/>
                    <w:rPr>
                      <w:rFonts w:hint="eastAsia" w:ascii="Times New Roman" w:hAnsi="Times New Roman" w:eastAsia="宋体" w:cs="Times New Roman"/>
                      <w:bCs/>
                      <w:szCs w:val="21"/>
                      <w:highlight w:val="none"/>
                      <w:lang w:val="en-US" w:eastAsia="zh-CN"/>
                    </w:rPr>
                  </w:pPr>
                </w:p>
              </w:tc>
              <w:tc>
                <w:tcPr>
                  <w:tcW w:w="804" w:type="dxa"/>
                  <w:vMerge w:val="continue"/>
                  <w:vAlign w:val="center"/>
                </w:tcPr>
                <w:p w14:paraId="6F3D1DC0">
                  <w:pPr>
                    <w:spacing w:line="340" w:lineRule="exact"/>
                    <w:jc w:val="center"/>
                    <w:rPr>
                      <w:rFonts w:hint="default" w:ascii="Times New Roman" w:hAnsi="Times New Roman" w:cs="Times New Roman"/>
                      <w:bCs/>
                      <w:szCs w:val="21"/>
                      <w:highlight w:val="none"/>
                    </w:rPr>
                  </w:pPr>
                </w:p>
              </w:tc>
              <w:tc>
                <w:tcPr>
                  <w:tcW w:w="1136" w:type="dxa"/>
                  <w:vMerge w:val="continue"/>
                  <w:vAlign w:val="center"/>
                </w:tcPr>
                <w:p w14:paraId="39B700DF">
                  <w:pPr>
                    <w:spacing w:line="340" w:lineRule="exact"/>
                    <w:jc w:val="center"/>
                    <w:rPr>
                      <w:rFonts w:hint="eastAsia" w:ascii="Times New Roman" w:hAnsi="Times New Roman" w:eastAsia="宋体" w:cs="Times New Roman"/>
                      <w:bCs/>
                      <w:szCs w:val="21"/>
                      <w:highlight w:val="none"/>
                      <w:lang w:val="en-US" w:eastAsia="zh-CN"/>
                    </w:rPr>
                  </w:pPr>
                </w:p>
              </w:tc>
            </w:tr>
          </w:tbl>
          <w:p w14:paraId="66B1F7C8">
            <w:pPr>
              <w:pStyle w:val="12"/>
              <w:pBdr>
                <w:bottom w:val="none" w:color="auto" w:sz="0" w:space="0"/>
              </w:pBdr>
              <w:spacing w:line="360" w:lineRule="auto"/>
              <w:ind w:firstLine="480" w:firstLineChars="200"/>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福建瑞星红休闲用品有限公司曾委托福建益准检测技术有限公司于2023年3月16-17进行验收检测（报告编号：C23031405G）（见附件14）；委托厦门鹭测检测科技有限公司于2023年8月9日在高频机边上检测非甲烷总烃（报告编号：LCJCJB2308090102）（见附件9），点位布设避开印刷车间，对比两份检测报告可得：高频机边上</w:t>
            </w:r>
            <w:r>
              <w:rPr>
                <w:rFonts w:hint="eastAsia" w:eastAsia="宋体"/>
                <w:color w:val="auto"/>
                <w:kern w:val="2"/>
                <w:sz w:val="24"/>
                <w:szCs w:val="24"/>
                <w:highlight w:val="none"/>
              </w:rPr>
              <w:t>非甲烷总烃</w:t>
            </w:r>
            <w:r>
              <w:rPr>
                <w:rFonts w:hint="eastAsia" w:ascii="Times New Roman" w:hAnsi="Times New Roman" w:eastAsia="宋体" w:cs="Times New Roman"/>
                <w:color w:val="auto"/>
                <w:sz w:val="24"/>
                <w:szCs w:val="24"/>
                <w:highlight w:val="none"/>
                <w:lang w:val="en-US" w:eastAsia="zh-CN"/>
              </w:rPr>
              <w:t>浓度最高值为0.66mg/m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数值远低于其厂区内任意一点非甲烷总烃的限值，且与该厂所在区域空气中非甲烷总烃数值接近。因此，本环评认为成型工序有机废气产生量极小，可忽略不计，故项目仅对印刷设备及高温机设置集气罩，对高频机设备拟不设置集气罩。</w:t>
            </w:r>
          </w:p>
          <w:p w14:paraId="69AC73FF">
            <w:pPr>
              <w:snapToGrid w:val="0"/>
              <w:spacing w:line="360" w:lineRule="auto"/>
              <w:jc w:val="center"/>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表4.2-2 福建瑞星红休闲用品有限公司（非甲烷总烃）厂区内监测结果对比表</w:t>
            </w:r>
          </w:p>
          <w:tbl>
            <w:tblPr>
              <w:tblStyle w:val="17"/>
              <w:tblW w:w="8166" w:type="dxa"/>
              <w:tblInd w:w="5"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213"/>
              <w:gridCol w:w="1507"/>
              <w:gridCol w:w="1180"/>
              <w:gridCol w:w="716"/>
              <w:gridCol w:w="691"/>
              <w:gridCol w:w="734"/>
              <w:gridCol w:w="2125"/>
            </w:tblGrid>
            <w:tr w14:paraId="682172F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2" w:type="pct"/>
                  <w:vMerge w:val="restart"/>
                  <w:noWrap/>
                  <w:vAlign w:val="center"/>
                </w:tcPr>
                <w:p w14:paraId="39600C03">
                  <w:pPr>
                    <w:jc w:val="center"/>
                    <w:rPr>
                      <w:rFonts w:hint="eastAsia" w:ascii="Times New Roman" w:hAnsi="Times New Roman" w:eastAsia="宋体" w:cs="Times New Roman"/>
                      <w:color w:val="auto"/>
                      <w:szCs w:val="24"/>
                      <w:highlight w:val="none"/>
                      <w:lang w:eastAsia="zh-CN" w:bidi="ar"/>
                    </w:rPr>
                  </w:pPr>
                  <w:r>
                    <w:rPr>
                      <w:rFonts w:hint="eastAsia" w:ascii="Times New Roman" w:hAnsi="Times New Roman" w:eastAsia="宋体" w:cs="Times New Roman"/>
                      <w:color w:val="auto"/>
                      <w:szCs w:val="24"/>
                      <w:highlight w:val="none"/>
                      <w:lang w:val="en-US" w:eastAsia="zh-CN" w:bidi="ar"/>
                    </w:rPr>
                    <w:t>名称</w:t>
                  </w:r>
                </w:p>
              </w:tc>
              <w:tc>
                <w:tcPr>
                  <w:tcW w:w="922" w:type="pct"/>
                  <w:vMerge w:val="restart"/>
                  <w:noWrap/>
                  <w:vAlign w:val="center"/>
                </w:tcPr>
                <w:p w14:paraId="47C8F269">
                  <w:pPr>
                    <w:jc w:val="center"/>
                    <w:rPr>
                      <w:rFonts w:ascii="Times New Roman" w:hAnsi="Times New Roman" w:cs="Times New Roman"/>
                      <w:color w:val="auto"/>
                      <w:szCs w:val="24"/>
                      <w:highlight w:val="none"/>
                    </w:rPr>
                  </w:pPr>
                  <w:r>
                    <w:rPr>
                      <w:rFonts w:ascii="Times New Roman" w:hAnsi="Times New Roman" w:cs="Times New Roman"/>
                      <w:color w:val="auto"/>
                      <w:szCs w:val="24"/>
                      <w:highlight w:val="none"/>
                      <w:lang w:bidi="ar"/>
                    </w:rPr>
                    <w:t>采样点位</w:t>
                  </w:r>
                </w:p>
              </w:tc>
              <w:tc>
                <w:tcPr>
                  <w:tcW w:w="722" w:type="pct"/>
                  <w:vMerge w:val="restart"/>
                  <w:noWrap/>
                  <w:vAlign w:val="center"/>
                </w:tcPr>
                <w:p w14:paraId="4B8B96E1">
                  <w:pPr>
                    <w:jc w:val="center"/>
                    <w:rPr>
                      <w:rFonts w:ascii="Times New Roman" w:hAnsi="Times New Roman" w:cs="Times New Roman"/>
                      <w:color w:val="auto"/>
                      <w:szCs w:val="24"/>
                      <w:highlight w:val="none"/>
                    </w:rPr>
                  </w:pPr>
                  <w:r>
                    <w:rPr>
                      <w:rFonts w:ascii="Times New Roman" w:hAnsi="Times New Roman" w:cs="Times New Roman"/>
                      <w:color w:val="auto"/>
                      <w:szCs w:val="24"/>
                      <w:highlight w:val="none"/>
                      <w:lang w:bidi="ar"/>
                    </w:rPr>
                    <w:t>采样日期</w:t>
                  </w:r>
                </w:p>
              </w:tc>
              <w:tc>
                <w:tcPr>
                  <w:tcW w:w="2612" w:type="pct"/>
                  <w:gridSpan w:val="4"/>
                  <w:noWrap/>
                  <w:vAlign w:val="center"/>
                </w:tcPr>
                <w:p w14:paraId="236645CD">
                  <w:pPr>
                    <w:jc w:val="center"/>
                    <w:rPr>
                      <w:rFonts w:ascii="Times New Roman" w:hAnsi="Times New Roman" w:cs="Times New Roman"/>
                      <w:color w:val="auto"/>
                      <w:szCs w:val="24"/>
                      <w:highlight w:val="none"/>
                      <w:lang w:bidi="ar"/>
                    </w:rPr>
                  </w:pPr>
                  <w:r>
                    <w:rPr>
                      <w:rFonts w:ascii="Times New Roman" w:hAnsi="Times New Roman" w:cs="Times New Roman"/>
                      <w:color w:val="auto"/>
                      <w:szCs w:val="24"/>
                      <w:highlight w:val="none"/>
                      <w:lang w:bidi="ar"/>
                    </w:rPr>
                    <w:t>检测结果mg/m</w:t>
                  </w:r>
                  <w:r>
                    <w:rPr>
                      <w:rFonts w:ascii="Times New Roman" w:hAnsi="Times New Roman" w:cs="Times New Roman"/>
                      <w:color w:val="auto"/>
                      <w:szCs w:val="24"/>
                      <w:highlight w:val="none"/>
                      <w:vertAlign w:val="superscript"/>
                      <w:lang w:bidi="ar"/>
                    </w:rPr>
                    <w:t>3</w:t>
                  </w:r>
                </w:p>
              </w:tc>
            </w:tr>
            <w:tr w14:paraId="1C708E2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00" w:hRule="atLeast"/>
              </w:trPr>
              <w:tc>
                <w:tcPr>
                  <w:tcW w:w="742" w:type="pct"/>
                  <w:vMerge w:val="continue"/>
                  <w:noWrap/>
                  <w:vAlign w:val="center"/>
                </w:tcPr>
                <w:p w14:paraId="1C666B79">
                  <w:pPr>
                    <w:widowControl w:val="0"/>
                    <w:jc w:val="center"/>
                    <w:rPr>
                      <w:rFonts w:ascii="Times New Roman" w:hAnsi="Times New Roman" w:cs="Times New Roman"/>
                      <w:color w:val="auto"/>
                      <w:szCs w:val="24"/>
                      <w:highlight w:val="none"/>
                    </w:rPr>
                  </w:pPr>
                </w:p>
              </w:tc>
              <w:tc>
                <w:tcPr>
                  <w:tcW w:w="922" w:type="pct"/>
                  <w:vMerge w:val="continue"/>
                  <w:noWrap/>
                  <w:vAlign w:val="center"/>
                </w:tcPr>
                <w:p w14:paraId="68CD481F">
                  <w:pPr>
                    <w:widowControl w:val="0"/>
                    <w:jc w:val="center"/>
                    <w:rPr>
                      <w:rFonts w:ascii="Times New Roman" w:hAnsi="Times New Roman" w:cs="Times New Roman"/>
                      <w:color w:val="auto"/>
                      <w:szCs w:val="24"/>
                      <w:highlight w:val="none"/>
                    </w:rPr>
                  </w:pPr>
                </w:p>
              </w:tc>
              <w:tc>
                <w:tcPr>
                  <w:tcW w:w="722" w:type="pct"/>
                  <w:vMerge w:val="continue"/>
                  <w:noWrap/>
                  <w:vAlign w:val="center"/>
                </w:tcPr>
                <w:p w14:paraId="6F7ED70F">
                  <w:pPr>
                    <w:widowControl w:val="0"/>
                    <w:jc w:val="center"/>
                    <w:rPr>
                      <w:rFonts w:ascii="Times New Roman" w:hAnsi="Times New Roman" w:cs="Times New Roman"/>
                      <w:color w:val="auto"/>
                      <w:szCs w:val="24"/>
                      <w:highlight w:val="none"/>
                    </w:rPr>
                  </w:pPr>
                </w:p>
              </w:tc>
              <w:tc>
                <w:tcPr>
                  <w:tcW w:w="438" w:type="pct"/>
                  <w:noWrap/>
                  <w:vAlign w:val="center"/>
                </w:tcPr>
                <w:p w14:paraId="6FCB35DF">
                  <w:pPr>
                    <w:jc w:val="center"/>
                    <w:rPr>
                      <w:rFonts w:ascii="Times New Roman" w:hAnsi="Times New Roman" w:cs="Times New Roman"/>
                      <w:color w:val="auto"/>
                      <w:szCs w:val="24"/>
                      <w:highlight w:val="none"/>
                    </w:rPr>
                  </w:pPr>
                  <w:r>
                    <w:rPr>
                      <w:rFonts w:ascii="Times New Roman" w:hAnsi="Times New Roman" w:cs="Times New Roman"/>
                      <w:color w:val="auto"/>
                      <w:szCs w:val="24"/>
                      <w:highlight w:val="none"/>
                      <w:lang w:bidi="ar"/>
                    </w:rPr>
                    <w:t>1</w:t>
                  </w:r>
                </w:p>
              </w:tc>
              <w:tc>
                <w:tcPr>
                  <w:tcW w:w="423" w:type="pct"/>
                  <w:noWrap/>
                  <w:vAlign w:val="center"/>
                </w:tcPr>
                <w:p w14:paraId="560E1341">
                  <w:pPr>
                    <w:jc w:val="center"/>
                    <w:rPr>
                      <w:rFonts w:ascii="Times New Roman" w:hAnsi="Times New Roman" w:cs="Times New Roman"/>
                      <w:color w:val="auto"/>
                      <w:szCs w:val="24"/>
                      <w:highlight w:val="none"/>
                    </w:rPr>
                  </w:pPr>
                  <w:r>
                    <w:rPr>
                      <w:rFonts w:ascii="Times New Roman" w:hAnsi="Times New Roman" w:cs="Times New Roman"/>
                      <w:color w:val="auto"/>
                      <w:szCs w:val="24"/>
                      <w:highlight w:val="none"/>
                      <w:lang w:bidi="ar"/>
                    </w:rPr>
                    <w:t>2</w:t>
                  </w:r>
                </w:p>
              </w:tc>
              <w:tc>
                <w:tcPr>
                  <w:tcW w:w="449" w:type="pct"/>
                  <w:noWrap/>
                  <w:vAlign w:val="center"/>
                </w:tcPr>
                <w:p w14:paraId="37E9D108">
                  <w:pPr>
                    <w:jc w:val="center"/>
                    <w:rPr>
                      <w:rFonts w:ascii="Times New Roman" w:hAnsi="Times New Roman" w:cs="Times New Roman"/>
                      <w:color w:val="auto"/>
                      <w:szCs w:val="24"/>
                      <w:highlight w:val="none"/>
                    </w:rPr>
                  </w:pPr>
                  <w:r>
                    <w:rPr>
                      <w:rFonts w:ascii="Times New Roman" w:hAnsi="Times New Roman" w:cs="Times New Roman"/>
                      <w:color w:val="auto"/>
                      <w:szCs w:val="24"/>
                      <w:highlight w:val="none"/>
                      <w:lang w:bidi="ar"/>
                    </w:rPr>
                    <w:t>3</w:t>
                  </w:r>
                </w:p>
              </w:tc>
              <w:tc>
                <w:tcPr>
                  <w:tcW w:w="1301" w:type="pct"/>
                  <w:noWrap/>
                  <w:vAlign w:val="center"/>
                </w:tcPr>
                <w:p w14:paraId="6F61CB5A">
                  <w:pPr>
                    <w:jc w:val="center"/>
                    <w:rPr>
                      <w:rFonts w:ascii="Times New Roman" w:hAnsi="Times New Roman" w:cs="Times New Roman"/>
                      <w:color w:val="auto"/>
                      <w:szCs w:val="24"/>
                      <w:highlight w:val="none"/>
                    </w:rPr>
                  </w:pPr>
                  <w:r>
                    <w:rPr>
                      <w:rFonts w:hint="eastAsia" w:ascii="Times New Roman" w:hAnsi="Times New Roman" w:cs="Times New Roman"/>
                      <w:color w:val="auto"/>
                      <w:szCs w:val="24"/>
                      <w:highlight w:val="none"/>
                      <w:lang w:bidi="ar"/>
                    </w:rPr>
                    <w:t>浓度最高值</w:t>
                  </w:r>
                </w:p>
              </w:tc>
            </w:tr>
            <w:tr w14:paraId="0671F78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30" w:hRule="atLeast"/>
              </w:trPr>
              <w:tc>
                <w:tcPr>
                  <w:tcW w:w="742" w:type="pct"/>
                  <w:vMerge w:val="restart"/>
                  <w:noWrap/>
                  <w:vAlign w:val="center"/>
                </w:tcPr>
                <w:p w14:paraId="4E9645DC">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bidi="ar"/>
                    </w:rPr>
                    <w:t>高频车间浓度</w:t>
                  </w:r>
                </w:p>
              </w:tc>
              <w:tc>
                <w:tcPr>
                  <w:tcW w:w="922" w:type="pct"/>
                  <w:vMerge w:val="restart"/>
                  <w:noWrap/>
                  <w:vAlign w:val="center"/>
                </w:tcPr>
                <w:p w14:paraId="53298784">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高频机旁</w:t>
                  </w:r>
                </w:p>
              </w:tc>
              <w:tc>
                <w:tcPr>
                  <w:tcW w:w="722" w:type="pct"/>
                  <w:vMerge w:val="restart"/>
                  <w:noWrap/>
                  <w:vAlign w:val="center"/>
                </w:tcPr>
                <w:p w14:paraId="426CA26E">
                  <w:pPr>
                    <w:jc w:val="center"/>
                    <w:rPr>
                      <w:rFonts w:ascii="Times New Roman" w:hAnsi="Times New Roman" w:cs="Times New Roman"/>
                      <w:color w:val="auto"/>
                      <w:szCs w:val="24"/>
                      <w:highlight w:val="none"/>
                    </w:rPr>
                  </w:pPr>
                  <w:r>
                    <w:rPr>
                      <w:rFonts w:ascii="Times New Roman" w:hAnsi="Times New Roman" w:cs="Times New Roman"/>
                      <w:color w:val="auto"/>
                      <w:szCs w:val="24"/>
                      <w:highlight w:val="none"/>
                      <w:lang w:bidi="ar"/>
                    </w:rPr>
                    <w:t>202</w:t>
                  </w:r>
                  <w:r>
                    <w:rPr>
                      <w:rFonts w:hint="eastAsia" w:ascii="Times New Roman" w:hAnsi="Times New Roman" w:eastAsia="宋体" w:cs="Times New Roman"/>
                      <w:color w:val="auto"/>
                      <w:szCs w:val="24"/>
                      <w:highlight w:val="none"/>
                      <w:lang w:val="en-US" w:eastAsia="zh-CN" w:bidi="ar"/>
                    </w:rPr>
                    <w:t>3</w:t>
                  </w:r>
                  <w:r>
                    <w:rPr>
                      <w:rFonts w:hint="eastAsia" w:ascii="Times New Roman" w:hAnsi="Times New Roman" w:cs="Times New Roman"/>
                      <w:color w:val="auto"/>
                      <w:szCs w:val="24"/>
                      <w:highlight w:val="none"/>
                      <w:lang w:bidi="ar"/>
                    </w:rPr>
                    <w:t>.</w:t>
                  </w:r>
                  <w:r>
                    <w:rPr>
                      <w:rFonts w:ascii="Times New Roman" w:hAnsi="Times New Roman" w:cs="Times New Roman"/>
                      <w:color w:val="auto"/>
                      <w:szCs w:val="24"/>
                      <w:highlight w:val="none"/>
                      <w:lang w:bidi="ar"/>
                    </w:rPr>
                    <w:t>0</w:t>
                  </w:r>
                  <w:r>
                    <w:rPr>
                      <w:rFonts w:hint="eastAsia" w:ascii="Times New Roman" w:hAnsi="Times New Roman" w:eastAsia="宋体" w:cs="Times New Roman"/>
                      <w:color w:val="auto"/>
                      <w:szCs w:val="24"/>
                      <w:highlight w:val="none"/>
                      <w:lang w:val="en-US" w:eastAsia="zh-CN" w:bidi="ar"/>
                    </w:rPr>
                    <w:t>8</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09</w:t>
                  </w:r>
                </w:p>
              </w:tc>
              <w:tc>
                <w:tcPr>
                  <w:tcW w:w="438" w:type="pct"/>
                  <w:noWrap/>
                  <w:vAlign w:val="center"/>
                </w:tcPr>
                <w:p w14:paraId="72783FC3">
                  <w:pPr>
                    <w:jc w:val="center"/>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62</w:t>
                  </w:r>
                </w:p>
              </w:tc>
              <w:tc>
                <w:tcPr>
                  <w:tcW w:w="423" w:type="pct"/>
                  <w:noWrap/>
                  <w:vAlign w:val="center"/>
                </w:tcPr>
                <w:p w14:paraId="0C55BD74">
                  <w:pPr>
                    <w:jc w:val="center"/>
                    <w:rPr>
                      <w:rFonts w:hint="eastAsia"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.5</w:t>
                  </w:r>
                  <w:r>
                    <w:rPr>
                      <w:rFonts w:hint="eastAsia" w:ascii="Times New Roman" w:hAnsi="Times New Roman" w:eastAsia="宋体" w:cs="Times New Roman"/>
                      <w:color w:val="auto"/>
                      <w:szCs w:val="24"/>
                      <w:highlight w:val="none"/>
                      <w:lang w:val="en-US" w:eastAsia="zh-CN" w:bidi="ar"/>
                    </w:rPr>
                    <w:t>5</w:t>
                  </w:r>
                </w:p>
              </w:tc>
              <w:tc>
                <w:tcPr>
                  <w:tcW w:w="449" w:type="pct"/>
                  <w:noWrap/>
                  <w:vAlign w:val="center"/>
                </w:tcPr>
                <w:p w14:paraId="573EA84A">
                  <w:pPr>
                    <w:jc w:val="center"/>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66</w:t>
                  </w:r>
                </w:p>
              </w:tc>
              <w:tc>
                <w:tcPr>
                  <w:tcW w:w="1301" w:type="pct"/>
                  <w:noWrap/>
                  <w:vAlign w:val="center"/>
                </w:tcPr>
                <w:p w14:paraId="4AB57542">
                  <w:pPr>
                    <w:jc w:val="center"/>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66</w:t>
                  </w:r>
                </w:p>
              </w:tc>
            </w:tr>
            <w:tr w14:paraId="5601443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05" w:hRule="atLeast"/>
              </w:trPr>
              <w:tc>
                <w:tcPr>
                  <w:tcW w:w="742" w:type="pct"/>
                  <w:vMerge w:val="continue"/>
                  <w:noWrap/>
                  <w:vAlign w:val="center"/>
                </w:tcPr>
                <w:p w14:paraId="61F95039">
                  <w:pPr>
                    <w:jc w:val="center"/>
                    <w:rPr>
                      <w:rFonts w:ascii="Times New Roman" w:hAnsi="Times New Roman" w:cs="Times New Roman"/>
                      <w:color w:val="auto"/>
                      <w:szCs w:val="24"/>
                      <w:highlight w:val="none"/>
                    </w:rPr>
                  </w:pPr>
                </w:p>
              </w:tc>
              <w:tc>
                <w:tcPr>
                  <w:tcW w:w="922" w:type="pct"/>
                  <w:vMerge w:val="continue"/>
                  <w:noWrap/>
                  <w:vAlign w:val="center"/>
                </w:tcPr>
                <w:p w14:paraId="4E6882C0">
                  <w:pPr>
                    <w:jc w:val="center"/>
                    <w:rPr>
                      <w:rFonts w:ascii="Times New Roman" w:hAnsi="Times New Roman" w:cs="Times New Roman"/>
                      <w:color w:val="auto"/>
                      <w:szCs w:val="24"/>
                      <w:highlight w:val="none"/>
                    </w:rPr>
                  </w:pPr>
                </w:p>
              </w:tc>
              <w:tc>
                <w:tcPr>
                  <w:tcW w:w="722" w:type="pct"/>
                  <w:vMerge w:val="continue"/>
                  <w:noWrap/>
                  <w:vAlign w:val="center"/>
                </w:tcPr>
                <w:p w14:paraId="56D96E72">
                  <w:pPr>
                    <w:jc w:val="center"/>
                    <w:rPr>
                      <w:rFonts w:ascii="Times New Roman" w:hAnsi="Times New Roman" w:cs="Times New Roman"/>
                      <w:color w:val="auto"/>
                      <w:szCs w:val="24"/>
                      <w:highlight w:val="none"/>
                    </w:rPr>
                  </w:pPr>
                </w:p>
              </w:tc>
              <w:tc>
                <w:tcPr>
                  <w:tcW w:w="438" w:type="pct"/>
                  <w:noWrap/>
                  <w:vAlign w:val="center"/>
                </w:tcPr>
                <w:p w14:paraId="4F8C6511">
                  <w:pPr>
                    <w:jc w:val="center"/>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58</w:t>
                  </w:r>
                </w:p>
              </w:tc>
              <w:tc>
                <w:tcPr>
                  <w:tcW w:w="423" w:type="pct"/>
                  <w:noWrap/>
                  <w:vAlign w:val="center"/>
                </w:tcPr>
                <w:p w14:paraId="3EAB14AA">
                  <w:pPr>
                    <w:jc w:val="center"/>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66</w:t>
                  </w:r>
                </w:p>
              </w:tc>
              <w:tc>
                <w:tcPr>
                  <w:tcW w:w="449" w:type="pct"/>
                  <w:noWrap/>
                  <w:vAlign w:val="center"/>
                </w:tcPr>
                <w:p w14:paraId="0CE41FF2">
                  <w:pPr>
                    <w:jc w:val="center"/>
                    <w:rPr>
                      <w:rFonts w:hint="default" w:ascii="Times New Roman" w:hAnsi="Times New Roman" w:eastAsia="宋体" w:cs="Times New Roman"/>
                      <w:color w:val="auto"/>
                      <w:szCs w:val="24"/>
                      <w:highlight w:val="none"/>
                      <w:lang w:val="en-US" w:eastAsia="zh-CN"/>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w:t>
                  </w:r>
                  <w:r>
                    <w:rPr>
                      <w:rFonts w:hint="eastAsia" w:ascii="Times New Roman" w:hAnsi="Times New Roman" w:eastAsia="宋体" w:cs="Times New Roman"/>
                      <w:color w:val="auto"/>
                      <w:szCs w:val="24"/>
                      <w:highlight w:val="none"/>
                      <w:lang w:val="en-US" w:eastAsia="zh-CN" w:bidi="ar"/>
                    </w:rPr>
                    <w:t>64</w:t>
                  </w:r>
                </w:p>
              </w:tc>
              <w:tc>
                <w:tcPr>
                  <w:tcW w:w="1301" w:type="pct"/>
                  <w:noWrap/>
                  <w:vAlign w:val="center"/>
                </w:tcPr>
                <w:p w14:paraId="758E0EED">
                  <w:pPr>
                    <w:jc w:val="center"/>
                    <w:rPr>
                      <w:rFonts w:ascii="Times New Roman" w:hAnsi="Times New Roman" w:eastAsia="宋体" w:cs="Times New Roman"/>
                      <w:color w:val="auto"/>
                      <w:szCs w:val="24"/>
                      <w:highlight w:val="none"/>
                    </w:rPr>
                  </w:pPr>
                  <w:r>
                    <w:rPr>
                      <w:rFonts w:ascii="Times New Roman" w:hAnsi="Times New Roman" w:cs="Times New Roman"/>
                      <w:color w:val="auto"/>
                      <w:szCs w:val="24"/>
                      <w:highlight w:val="none"/>
                      <w:lang w:bidi="ar"/>
                    </w:rPr>
                    <w:t>0</w:t>
                  </w:r>
                  <w:r>
                    <w:rPr>
                      <w:rFonts w:hint="eastAsia" w:ascii="Times New Roman" w:hAnsi="Times New Roman" w:cs="Times New Roman"/>
                      <w:color w:val="auto"/>
                      <w:szCs w:val="24"/>
                      <w:highlight w:val="none"/>
                      <w:lang w:bidi="ar"/>
                    </w:rPr>
                    <w:t>.50</w:t>
                  </w:r>
                </w:p>
              </w:tc>
            </w:tr>
            <w:tr w14:paraId="0533768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25" w:hRule="atLeast"/>
              </w:trPr>
              <w:tc>
                <w:tcPr>
                  <w:tcW w:w="742" w:type="pct"/>
                  <w:vMerge w:val="restart"/>
                  <w:noWrap/>
                  <w:vAlign w:val="center"/>
                </w:tcPr>
                <w:p w14:paraId="3E96DF7E">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大气浓度</w:t>
                  </w:r>
                </w:p>
              </w:tc>
              <w:tc>
                <w:tcPr>
                  <w:tcW w:w="922" w:type="pct"/>
                  <w:vMerge w:val="restart"/>
                  <w:noWrap/>
                  <w:vAlign w:val="center"/>
                </w:tcPr>
                <w:p w14:paraId="3EF0F06C">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厂界上风向</w:t>
                  </w:r>
                </w:p>
              </w:tc>
              <w:tc>
                <w:tcPr>
                  <w:tcW w:w="722" w:type="pct"/>
                  <w:noWrap/>
                  <w:vAlign w:val="center"/>
                </w:tcPr>
                <w:p w14:paraId="06219608">
                  <w:pPr>
                    <w:jc w:val="center"/>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2023.03.16</w:t>
                  </w:r>
                </w:p>
              </w:tc>
              <w:tc>
                <w:tcPr>
                  <w:tcW w:w="438" w:type="pct"/>
                  <w:noWrap/>
                  <w:vAlign w:val="center"/>
                </w:tcPr>
                <w:p w14:paraId="7B5B6DC9">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0.64</w:t>
                  </w:r>
                </w:p>
              </w:tc>
              <w:tc>
                <w:tcPr>
                  <w:tcW w:w="423" w:type="pct"/>
                  <w:noWrap/>
                  <w:vAlign w:val="center"/>
                </w:tcPr>
                <w:p w14:paraId="01B5AE4D">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0.61</w:t>
                  </w:r>
                </w:p>
              </w:tc>
              <w:tc>
                <w:tcPr>
                  <w:tcW w:w="449" w:type="pct"/>
                  <w:noWrap/>
                  <w:vAlign w:val="center"/>
                </w:tcPr>
                <w:p w14:paraId="6BA5266D">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0.63</w:t>
                  </w:r>
                </w:p>
              </w:tc>
              <w:tc>
                <w:tcPr>
                  <w:tcW w:w="1301" w:type="pct"/>
                  <w:noWrap/>
                  <w:vAlign w:val="center"/>
                </w:tcPr>
                <w:p w14:paraId="486C8DCE">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0.64</w:t>
                  </w:r>
                </w:p>
              </w:tc>
            </w:tr>
            <w:tr w14:paraId="40A5600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90" w:hRule="atLeast"/>
              </w:trPr>
              <w:tc>
                <w:tcPr>
                  <w:tcW w:w="742" w:type="pct"/>
                  <w:vMerge w:val="continue"/>
                  <w:noWrap/>
                  <w:vAlign w:val="center"/>
                </w:tcPr>
                <w:p w14:paraId="602E2F1D">
                  <w:pPr>
                    <w:jc w:val="center"/>
                    <w:rPr>
                      <w:color w:val="auto"/>
                      <w:highlight w:val="none"/>
                    </w:rPr>
                  </w:pPr>
                </w:p>
              </w:tc>
              <w:tc>
                <w:tcPr>
                  <w:tcW w:w="922" w:type="pct"/>
                  <w:vMerge w:val="continue"/>
                  <w:noWrap/>
                  <w:vAlign w:val="center"/>
                </w:tcPr>
                <w:p w14:paraId="46B3F98E">
                  <w:pPr>
                    <w:jc w:val="center"/>
                    <w:rPr>
                      <w:rFonts w:hint="eastAsia" w:ascii="Times New Roman" w:hAnsi="Times New Roman" w:eastAsia="宋体" w:cs="Times New Roman"/>
                      <w:color w:val="auto"/>
                      <w:szCs w:val="24"/>
                      <w:highlight w:val="none"/>
                      <w:lang w:val="en-US" w:eastAsia="zh-CN"/>
                    </w:rPr>
                  </w:pPr>
                </w:p>
              </w:tc>
              <w:tc>
                <w:tcPr>
                  <w:tcW w:w="722" w:type="pct"/>
                  <w:noWrap/>
                  <w:vAlign w:val="center"/>
                </w:tcPr>
                <w:p w14:paraId="491EEC04">
                  <w:pPr>
                    <w:jc w:val="center"/>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2023.03.17</w:t>
                  </w:r>
                </w:p>
              </w:tc>
              <w:tc>
                <w:tcPr>
                  <w:tcW w:w="438" w:type="pct"/>
                  <w:noWrap/>
                  <w:vAlign w:val="center"/>
                </w:tcPr>
                <w:p w14:paraId="234230AE">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0.70</w:t>
                  </w:r>
                </w:p>
              </w:tc>
              <w:tc>
                <w:tcPr>
                  <w:tcW w:w="423" w:type="pct"/>
                  <w:noWrap/>
                  <w:vAlign w:val="center"/>
                </w:tcPr>
                <w:p w14:paraId="5C96F71B">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0.62</w:t>
                  </w:r>
                </w:p>
              </w:tc>
              <w:tc>
                <w:tcPr>
                  <w:tcW w:w="449" w:type="pct"/>
                  <w:noWrap/>
                  <w:vAlign w:val="center"/>
                </w:tcPr>
                <w:p w14:paraId="36FF4A7D">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0.72</w:t>
                  </w:r>
                </w:p>
              </w:tc>
              <w:tc>
                <w:tcPr>
                  <w:tcW w:w="1301" w:type="pct"/>
                  <w:noWrap/>
                  <w:vAlign w:val="center"/>
                </w:tcPr>
                <w:p w14:paraId="16D3A4BF">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0.72</w:t>
                  </w:r>
                </w:p>
              </w:tc>
            </w:tr>
            <w:tr w14:paraId="47B207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90" w:hRule="atLeast"/>
              </w:trPr>
              <w:tc>
                <w:tcPr>
                  <w:tcW w:w="742" w:type="pct"/>
                  <w:vMerge w:val="restart"/>
                  <w:noWrap/>
                  <w:vAlign w:val="center"/>
                </w:tcPr>
                <w:p w14:paraId="0D4991C2">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厂区浓度</w:t>
                  </w:r>
                </w:p>
              </w:tc>
              <w:tc>
                <w:tcPr>
                  <w:tcW w:w="922" w:type="pct"/>
                  <w:vMerge w:val="restart"/>
                  <w:noWrap/>
                  <w:vAlign w:val="center"/>
                </w:tcPr>
                <w:p w14:paraId="1B752818">
                  <w:pPr>
                    <w:jc w:val="center"/>
                    <w:rPr>
                      <w:rFonts w:ascii="Times New Roman" w:hAnsi="Times New Roman" w:cs="Times New Roman"/>
                      <w:color w:val="auto"/>
                      <w:szCs w:val="24"/>
                      <w:highlight w:val="none"/>
                    </w:rPr>
                  </w:pPr>
                  <w:r>
                    <w:rPr>
                      <w:rFonts w:hint="eastAsia" w:ascii="Times New Roman" w:hAnsi="Times New Roman" w:eastAsia="宋体" w:cs="Times New Roman"/>
                      <w:color w:val="auto"/>
                      <w:szCs w:val="24"/>
                      <w:highlight w:val="none"/>
                      <w:lang w:val="en-US" w:eastAsia="zh-CN"/>
                    </w:rPr>
                    <w:t>厂区内</w:t>
                  </w:r>
                </w:p>
              </w:tc>
              <w:tc>
                <w:tcPr>
                  <w:tcW w:w="722" w:type="pct"/>
                  <w:vMerge w:val="restart"/>
                  <w:noWrap/>
                  <w:vAlign w:val="center"/>
                </w:tcPr>
                <w:p w14:paraId="32312086">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2023.03.16</w:t>
                  </w:r>
                </w:p>
              </w:tc>
              <w:tc>
                <w:tcPr>
                  <w:tcW w:w="438" w:type="pct"/>
                  <w:noWrap/>
                  <w:vAlign w:val="center"/>
                </w:tcPr>
                <w:p w14:paraId="04EBD167">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3.06</w:t>
                  </w:r>
                </w:p>
              </w:tc>
              <w:tc>
                <w:tcPr>
                  <w:tcW w:w="423" w:type="pct"/>
                  <w:noWrap/>
                  <w:vAlign w:val="center"/>
                </w:tcPr>
                <w:p w14:paraId="0C38C7DA">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3.17</w:t>
                  </w:r>
                </w:p>
              </w:tc>
              <w:tc>
                <w:tcPr>
                  <w:tcW w:w="449" w:type="pct"/>
                  <w:noWrap/>
                  <w:vAlign w:val="center"/>
                </w:tcPr>
                <w:p w14:paraId="56FFE0AF">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3.32</w:t>
                  </w:r>
                </w:p>
              </w:tc>
              <w:tc>
                <w:tcPr>
                  <w:tcW w:w="1301" w:type="pct"/>
                  <w:noWrap/>
                  <w:vAlign w:val="center"/>
                </w:tcPr>
                <w:p w14:paraId="0D65CA21">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3.32</w:t>
                  </w:r>
                </w:p>
              </w:tc>
            </w:tr>
            <w:tr w14:paraId="27B823B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42" w:type="pct"/>
                  <w:vMerge w:val="continue"/>
                  <w:noWrap/>
                  <w:vAlign w:val="center"/>
                </w:tcPr>
                <w:p w14:paraId="7FA701B7">
                  <w:pPr>
                    <w:jc w:val="center"/>
                    <w:rPr>
                      <w:rFonts w:ascii="Times New Roman" w:hAnsi="Times New Roman" w:cs="Times New Roman"/>
                      <w:color w:val="auto"/>
                      <w:szCs w:val="24"/>
                      <w:highlight w:val="none"/>
                    </w:rPr>
                  </w:pPr>
                </w:p>
              </w:tc>
              <w:tc>
                <w:tcPr>
                  <w:tcW w:w="922" w:type="pct"/>
                  <w:vMerge w:val="continue"/>
                  <w:noWrap/>
                  <w:vAlign w:val="center"/>
                </w:tcPr>
                <w:p w14:paraId="6747B542">
                  <w:pPr>
                    <w:jc w:val="center"/>
                    <w:rPr>
                      <w:rFonts w:ascii="Times New Roman" w:hAnsi="Times New Roman" w:cs="Times New Roman"/>
                      <w:color w:val="auto"/>
                      <w:szCs w:val="24"/>
                      <w:highlight w:val="none"/>
                    </w:rPr>
                  </w:pPr>
                </w:p>
              </w:tc>
              <w:tc>
                <w:tcPr>
                  <w:tcW w:w="722" w:type="pct"/>
                  <w:vMerge w:val="continue"/>
                  <w:noWrap/>
                  <w:vAlign w:val="center"/>
                </w:tcPr>
                <w:p w14:paraId="5B82DA1B">
                  <w:pPr>
                    <w:jc w:val="center"/>
                    <w:rPr>
                      <w:rFonts w:ascii="Times New Roman" w:hAnsi="Times New Roman" w:cs="Times New Roman"/>
                      <w:color w:val="auto"/>
                      <w:szCs w:val="24"/>
                      <w:highlight w:val="none"/>
                    </w:rPr>
                  </w:pPr>
                </w:p>
              </w:tc>
              <w:tc>
                <w:tcPr>
                  <w:tcW w:w="438" w:type="pct"/>
                  <w:noWrap/>
                  <w:vAlign w:val="center"/>
                </w:tcPr>
                <w:p w14:paraId="0B153E1A">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3.52</w:t>
                  </w:r>
                </w:p>
              </w:tc>
              <w:tc>
                <w:tcPr>
                  <w:tcW w:w="423" w:type="pct"/>
                  <w:noWrap/>
                  <w:vAlign w:val="center"/>
                </w:tcPr>
                <w:p w14:paraId="1265EC69">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3.66</w:t>
                  </w:r>
                </w:p>
              </w:tc>
              <w:tc>
                <w:tcPr>
                  <w:tcW w:w="449" w:type="pct"/>
                  <w:noWrap/>
                  <w:vAlign w:val="center"/>
                </w:tcPr>
                <w:p w14:paraId="1B191404">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3.67</w:t>
                  </w:r>
                </w:p>
              </w:tc>
              <w:tc>
                <w:tcPr>
                  <w:tcW w:w="1301" w:type="pct"/>
                  <w:noWrap/>
                  <w:vAlign w:val="center"/>
                </w:tcPr>
                <w:p w14:paraId="3BCE8091">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3.67</w:t>
                  </w:r>
                </w:p>
              </w:tc>
            </w:tr>
            <w:tr w14:paraId="77BA66B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42" w:type="pct"/>
                  <w:vMerge w:val="continue"/>
                  <w:noWrap/>
                  <w:vAlign w:val="center"/>
                </w:tcPr>
                <w:p w14:paraId="79975E6F">
                  <w:pPr>
                    <w:jc w:val="center"/>
                    <w:rPr>
                      <w:rFonts w:ascii="Times New Roman" w:hAnsi="Times New Roman" w:cs="Times New Roman"/>
                      <w:color w:val="auto"/>
                      <w:szCs w:val="24"/>
                      <w:highlight w:val="none"/>
                    </w:rPr>
                  </w:pPr>
                </w:p>
              </w:tc>
              <w:tc>
                <w:tcPr>
                  <w:tcW w:w="922" w:type="pct"/>
                  <w:vMerge w:val="continue"/>
                  <w:noWrap/>
                  <w:vAlign w:val="center"/>
                </w:tcPr>
                <w:p w14:paraId="0FB54750">
                  <w:pPr>
                    <w:jc w:val="center"/>
                    <w:rPr>
                      <w:rFonts w:ascii="Times New Roman" w:hAnsi="Times New Roman" w:cs="Times New Roman"/>
                      <w:color w:val="auto"/>
                      <w:szCs w:val="24"/>
                      <w:highlight w:val="none"/>
                    </w:rPr>
                  </w:pPr>
                </w:p>
              </w:tc>
              <w:tc>
                <w:tcPr>
                  <w:tcW w:w="722" w:type="pct"/>
                  <w:vMerge w:val="restart"/>
                  <w:noWrap/>
                  <w:vAlign w:val="center"/>
                </w:tcPr>
                <w:p w14:paraId="349C14C4">
                  <w:pPr>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2023.03.17</w:t>
                  </w:r>
                </w:p>
              </w:tc>
              <w:tc>
                <w:tcPr>
                  <w:tcW w:w="438" w:type="pct"/>
                  <w:noWrap/>
                  <w:vAlign w:val="center"/>
                </w:tcPr>
                <w:p w14:paraId="24CDFC28">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3.32</w:t>
                  </w:r>
                </w:p>
              </w:tc>
              <w:tc>
                <w:tcPr>
                  <w:tcW w:w="423" w:type="pct"/>
                  <w:noWrap/>
                  <w:vAlign w:val="center"/>
                </w:tcPr>
                <w:p w14:paraId="1D993210">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3.57</w:t>
                  </w:r>
                </w:p>
              </w:tc>
              <w:tc>
                <w:tcPr>
                  <w:tcW w:w="449" w:type="pct"/>
                  <w:noWrap/>
                  <w:vAlign w:val="center"/>
                </w:tcPr>
                <w:p w14:paraId="4DB689A2">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3.50</w:t>
                  </w:r>
                </w:p>
              </w:tc>
              <w:tc>
                <w:tcPr>
                  <w:tcW w:w="1301" w:type="pct"/>
                  <w:noWrap/>
                  <w:vAlign w:val="center"/>
                </w:tcPr>
                <w:p w14:paraId="63CA9A61">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3.57</w:t>
                  </w:r>
                </w:p>
              </w:tc>
            </w:tr>
            <w:tr w14:paraId="1B30E95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742" w:type="pct"/>
                  <w:vMerge w:val="continue"/>
                  <w:noWrap/>
                  <w:vAlign w:val="center"/>
                </w:tcPr>
                <w:p w14:paraId="23225C20">
                  <w:pPr>
                    <w:jc w:val="center"/>
                    <w:rPr>
                      <w:rFonts w:ascii="Times New Roman" w:hAnsi="Times New Roman" w:cs="Times New Roman"/>
                      <w:color w:val="auto"/>
                      <w:szCs w:val="24"/>
                      <w:highlight w:val="none"/>
                    </w:rPr>
                  </w:pPr>
                </w:p>
              </w:tc>
              <w:tc>
                <w:tcPr>
                  <w:tcW w:w="922" w:type="pct"/>
                  <w:vMerge w:val="continue"/>
                  <w:noWrap/>
                  <w:vAlign w:val="center"/>
                </w:tcPr>
                <w:p w14:paraId="3A3B8C8B">
                  <w:pPr>
                    <w:jc w:val="center"/>
                    <w:rPr>
                      <w:rFonts w:ascii="Times New Roman" w:hAnsi="Times New Roman" w:cs="Times New Roman"/>
                      <w:color w:val="auto"/>
                      <w:szCs w:val="24"/>
                      <w:highlight w:val="none"/>
                    </w:rPr>
                  </w:pPr>
                </w:p>
              </w:tc>
              <w:tc>
                <w:tcPr>
                  <w:tcW w:w="722" w:type="pct"/>
                  <w:vMerge w:val="continue"/>
                  <w:noWrap/>
                  <w:vAlign w:val="center"/>
                </w:tcPr>
                <w:p w14:paraId="10FF7CFB">
                  <w:pPr>
                    <w:jc w:val="center"/>
                    <w:rPr>
                      <w:rFonts w:ascii="Times New Roman" w:hAnsi="Times New Roman" w:cs="Times New Roman"/>
                      <w:color w:val="auto"/>
                      <w:szCs w:val="24"/>
                      <w:highlight w:val="none"/>
                    </w:rPr>
                  </w:pPr>
                </w:p>
              </w:tc>
              <w:tc>
                <w:tcPr>
                  <w:tcW w:w="438" w:type="pct"/>
                  <w:noWrap/>
                  <w:vAlign w:val="center"/>
                </w:tcPr>
                <w:p w14:paraId="491FE6C0">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3.00</w:t>
                  </w:r>
                </w:p>
              </w:tc>
              <w:tc>
                <w:tcPr>
                  <w:tcW w:w="423" w:type="pct"/>
                  <w:noWrap/>
                  <w:vAlign w:val="center"/>
                </w:tcPr>
                <w:p w14:paraId="7F50E3B4">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2.89</w:t>
                  </w:r>
                </w:p>
              </w:tc>
              <w:tc>
                <w:tcPr>
                  <w:tcW w:w="449" w:type="pct"/>
                  <w:noWrap/>
                  <w:vAlign w:val="center"/>
                </w:tcPr>
                <w:p w14:paraId="732FBDE7">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2.85</w:t>
                  </w:r>
                </w:p>
              </w:tc>
              <w:tc>
                <w:tcPr>
                  <w:tcW w:w="1301" w:type="pct"/>
                  <w:noWrap/>
                  <w:vAlign w:val="center"/>
                </w:tcPr>
                <w:p w14:paraId="78970850">
                  <w:pPr>
                    <w:jc w:val="center"/>
                    <w:rPr>
                      <w:rFonts w:hint="default" w:ascii="Times New Roman" w:hAnsi="Times New Roman" w:eastAsia="宋体" w:cs="Times New Roman"/>
                      <w:color w:val="auto"/>
                      <w:szCs w:val="24"/>
                      <w:highlight w:val="none"/>
                      <w:lang w:val="en-US" w:eastAsia="zh-CN" w:bidi="ar"/>
                    </w:rPr>
                  </w:pPr>
                  <w:r>
                    <w:rPr>
                      <w:rFonts w:hint="eastAsia" w:ascii="Times New Roman" w:hAnsi="Times New Roman" w:eastAsia="宋体" w:cs="Times New Roman"/>
                      <w:color w:val="auto"/>
                      <w:szCs w:val="24"/>
                      <w:highlight w:val="none"/>
                      <w:lang w:val="en-US" w:eastAsia="zh-CN" w:bidi="ar"/>
                    </w:rPr>
                    <w:t>3.00</w:t>
                  </w:r>
                </w:p>
              </w:tc>
            </w:tr>
          </w:tbl>
          <w:p w14:paraId="40FE9C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根据生产工艺流程分析，废气主要为调墨、印刷</w:t>
            </w: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高温成型</w:t>
            </w:r>
            <w:r>
              <w:rPr>
                <w:rFonts w:hint="default" w:ascii="Times New Roman" w:hAnsi="Times New Roman" w:cs="Times New Roman"/>
                <w:b w:val="0"/>
                <w:bCs/>
                <w:color w:val="auto"/>
                <w:sz w:val="24"/>
                <w:highlight w:val="none"/>
              </w:rPr>
              <w:t>过程中产生</w:t>
            </w:r>
            <w:r>
              <w:rPr>
                <w:rFonts w:hint="eastAsia" w:ascii="Times New Roman" w:hAnsi="Times New Roman" w:eastAsia="宋体" w:cs="Times New Roman"/>
                <w:b w:val="0"/>
                <w:bCs/>
                <w:color w:val="auto"/>
                <w:sz w:val="24"/>
                <w:highlight w:val="none"/>
                <w:lang w:val="en-US" w:eastAsia="zh-CN"/>
              </w:rPr>
              <w:t>的</w:t>
            </w:r>
            <w:r>
              <w:rPr>
                <w:rFonts w:hint="default" w:ascii="Times New Roman" w:hAnsi="Times New Roman" w:cs="Times New Roman"/>
                <w:b w:val="0"/>
                <w:bCs/>
                <w:color w:val="auto"/>
                <w:sz w:val="24"/>
                <w:highlight w:val="none"/>
              </w:rPr>
              <w:t>有机废气（以非甲烷总烃计）。</w:t>
            </w:r>
          </w:p>
          <w:p w14:paraId="1EDF25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1</w:t>
            </w: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调墨、印刷废气</w:t>
            </w:r>
          </w:p>
          <w:p w14:paraId="477B369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b/>
                <w:color w:val="auto"/>
                <w:sz w:val="24"/>
                <w:highlight w:val="none"/>
              </w:rPr>
            </w:pPr>
            <w:r>
              <w:rPr>
                <w:rFonts w:hint="default" w:ascii="Times New Roman" w:hAnsi="Times New Roman" w:cs="Times New Roman"/>
                <w:b w:val="0"/>
                <w:bCs/>
                <w:color w:val="auto"/>
                <w:sz w:val="24"/>
                <w:highlight w:val="none"/>
              </w:rPr>
              <w:t>根据《油墨中可挥发性有机化合物</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cs="Times New Roman"/>
                <w:b w:val="0"/>
                <w:bCs/>
                <w:color w:val="auto"/>
                <w:sz w:val="24"/>
                <w:highlight w:val="none"/>
              </w:rPr>
              <w:t>VOCs</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cs="Times New Roman"/>
                <w:b w:val="0"/>
                <w:bCs/>
                <w:color w:val="auto"/>
                <w:sz w:val="24"/>
                <w:highlight w:val="none"/>
              </w:rPr>
              <w:t>含量的限值》</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cs="Times New Roman"/>
                <w:b w:val="0"/>
                <w:bCs/>
                <w:color w:val="auto"/>
                <w:sz w:val="24"/>
                <w:highlight w:val="none"/>
              </w:rPr>
              <w:t>GB 38507-2020</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cs="Times New Roman"/>
                <w:b w:val="0"/>
                <w:bCs/>
                <w:color w:val="auto"/>
                <w:sz w:val="24"/>
                <w:highlight w:val="none"/>
              </w:rPr>
              <w:t>中表</w:t>
            </w:r>
            <w:r>
              <w:rPr>
                <w:rFonts w:hint="default" w:ascii="Times New Roman" w:hAnsi="Times New Roman" w:eastAsia="宋体" w:cs="Times New Roman"/>
                <w:b w:val="0"/>
                <w:bCs/>
                <w:color w:val="auto"/>
                <w:sz w:val="24"/>
                <w:highlight w:val="none"/>
                <w:lang w:val="en-US" w:eastAsia="zh-CN"/>
              </w:rPr>
              <w:t>1</w:t>
            </w:r>
            <w:r>
              <w:rPr>
                <w:rFonts w:hint="default" w:ascii="Times New Roman" w:hAnsi="Times New Roman" w:cs="Times New Roman"/>
                <w:b w:val="0"/>
                <w:bCs/>
                <w:color w:val="auto"/>
                <w:sz w:val="24"/>
                <w:highlight w:val="none"/>
              </w:rPr>
              <w:t>的限值要求，</w:t>
            </w:r>
            <w:r>
              <w:rPr>
                <w:rFonts w:hint="default" w:ascii="Times New Roman" w:hAnsi="Times New Roman" w:eastAsia="宋体" w:cs="Times New Roman"/>
                <w:b w:val="0"/>
                <w:bCs/>
                <w:color w:val="auto"/>
                <w:sz w:val="24"/>
                <w:highlight w:val="none"/>
                <w:lang w:val="en-US" w:eastAsia="zh-CN"/>
              </w:rPr>
              <w:t>具体</w:t>
            </w:r>
            <w:r>
              <w:rPr>
                <w:rFonts w:hint="default" w:ascii="Times New Roman" w:hAnsi="Times New Roman" w:cs="Times New Roman"/>
                <w:b w:val="0"/>
                <w:bCs/>
                <w:color w:val="auto"/>
                <w:sz w:val="24"/>
                <w:highlight w:val="none"/>
              </w:rPr>
              <w:t>见</w:t>
            </w:r>
            <w:r>
              <w:rPr>
                <w:rFonts w:hint="default" w:ascii="Times New Roman" w:hAnsi="Times New Roman" w:eastAsia="宋体" w:cs="Times New Roman"/>
                <w:b w:val="0"/>
                <w:bCs/>
                <w:color w:val="auto"/>
                <w:sz w:val="24"/>
                <w:highlight w:val="none"/>
                <w:lang w:val="en-US" w:eastAsia="zh-CN"/>
              </w:rPr>
              <w:t>下</w:t>
            </w:r>
            <w:r>
              <w:rPr>
                <w:rFonts w:hint="default" w:ascii="Times New Roman" w:hAnsi="Times New Roman" w:cs="Times New Roman"/>
                <w:b w:val="0"/>
                <w:bCs/>
                <w:color w:val="auto"/>
                <w:sz w:val="24"/>
                <w:highlight w:val="none"/>
              </w:rPr>
              <w:t>表</w:t>
            </w:r>
            <w:r>
              <w:rPr>
                <w:rFonts w:hint="eastAsia" w:ascii="Times New Roman" w:hAnsi="Times New Roman" w:eastAsia="宋体" w:cs="Times New Roman"/>
                <w:b w:val="0"/>
                <w:bCs/>
                <w:color w:val="auto"/>
                <w:sz w:val="24"/>
                <w:highlight w:val="none"/>
                <w:lang w:val="en-US" w:eastAsia="zh-CN"/>
              </w:rPr>
              <w:t>4.2-3</w:t>
            </w:r>
            <w:r>
              <w:rPr>
                <w:rFonts w:hint="default" w:ascii="Times New Roman" w:hAnsi="Times New Roman" w:cs="Times New Roman"/>
                <w:b w:val="0"/>
                <w:bCs/>
                <w:color w:val="auto"/>
                <w:sz w:val="24"/>
                <w:highlight w:val="none"/>
              </w:rPr>
              <w:t>。</w:t>
            </w:r>
          </w:p>
          <w:p w14:paraId="037BC927">
            <w:pPr>
              <w:snapToGrid w:val="0"/>
              <w:spacing w:line="360" w:lineRule="auto"/>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rPr>
              <w:t>表</w:t>
            </w:r>
            <w:r>
              <w:rPr>
                <w:rFonts w:hint="eastAsia" w:ascii="Times New Roman" w:hAnsi="Times New Roman" w:eastAsia="宋体" w:cs="Times New Roman"/>
                <w:b/>
                <w:color w:val="auto"/>
                <w:sz w:val="24"/>
                <w:highlight w:val="none"/>
                <w:lang w:val="en-US" w:eastAsia="zh-CN"/>
              </w:rPr>
              <w:t>4.2-3</w:t>
            </w:r>
            <w:r>
              <w:rPr>
                <w:rFonts w:hint="default" w:ascii="Times New Roman" w:hAnsi="Times New Roman" w:cs="Times New Roman"/>
                <w:b/>
                <w:color w:val="auto"/>
                <w:sz w:val="24"/>
                <w:highlight w:val="none"/>
              </w:rPr>
              <w:t xml:space="preserve"> 油墨</w:t>
            </w:r>
            <w:r>
              <w:rPr>
                <w:rFonts w:hint="eastAsia" w:ascii="Times New Roman" w:hAnsi="Times New Roman" w:eastAsia="宋体" w:cs="Times New Roman"/>
                <w:b/>
                <w:color w:val="auto"/>
                <w:sz w:val="24"/>
                <w:highlight w:val="none"/>
                <w:lang w:val="en-US" w:eastAsia="zh-CN"/>
              </w:rPr>
              <w:t>中可挥发性有机物化合物含量的限值</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72"/>
              <w:gridCol w:w="3771"/>
              <w:gridCol w:w="3611"/>
            </w:tblGrid>
            <w:tr w14:paraId="4F40C9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4" w:hRule="atLeast"/>
                <w:tblHeader/>
                <w:jc w:val="center"/>
              </w:trPr>
              <w:tc>
                <w:tcPr>
                  <w:tcW w:w="2785" w:type="pct"/>
                  <w:gridSpan w:val="2"/>
                  <w:tcBorders>
                    <w:right w:val="single" w:color="auto" w:sz="4" w:space="0"/>
                  </w:tcBorders>
                  <w:noWrap w:val="0"/>
                  <w:vAlign w:val="center"/>
                </w:tcPr>
                <w:p w14:paraId="66C54FD4">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油墨品种</w:t>
                  </w:r>
                </w:p>
              </w:tc>
              <w:tc>
                <w:tcPr>
                  <w:tcW w:w="2214" w:type="pct"/>
                  <w:tcBorders>
                    <w:left w:val="single" w:color="auto" w:sz="4" w:space="0"/>
                  </w:tcBorders>
                  <w:noWrap w:val="0"/>
                  <w:vAlign w:val="center"/>
                </w:tcPr>
                <w:p w14:paraId="0CC57E64">
                  <w:pPr>
                    <w:spacing w:line="340" w:lineRule="exact"/>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rPr>
                    <w:t>挥发性有机化合物</w:t>
                  </w:r>
                  <w:r>
                    <w:rPr>
                      <w:rFonts w:hint="eastAsia" w:ascii="Times New Roman" w:hAnsi="Times New Roman" w:eastAsia="宋体" w:cs="Times New Roman"/>
                      <w:b/>
                      <w:bCs/>
                      <w:color w:val="auto"/>
                      <w:szCs w:val="21"/>
                      <w:highlight w:val="none"/>
                      <w:lang w:eastAsia="zh-CN"/>
                    </w:rPr>
                    <w:t>（</w:t>
                  </w:r>
                  <w:r>
                    <w:rPr>
                      <w:rFonts w:hint="default" w:ascii="Times New Roman" w:hAnsi="Times New Roman" w:cs="Times New Roman"/>
                      <w:b/>
                      <w:bCs/>
                      <w:color w:val="auto"/>
                      <w:szCs w:val="21"/>
                      <w:highlight w:val="none"/>
                    </w:rPr>
                    <w:t>VOCs</w:t>
                  </w:r>
                  <w:r>
                    <w:rPr>
                      <w:rFonts w:hint="eastAsia" w:ascii="Times New Roman" w:hAnsi="Times New Roman" w:eastAsia="宋体" w:cs="Times New Roman"/>
                      <w:b/>
                      <w:bCs/>
                      <w:color w:val="auto"/>
                      <w:szCs w:val="21"/>
                      <w:highlight w:val="none"/>
                      <w:lang w:eastAsia="zh-CN"/>
                    </w:rPr>
                    <w:t>）</w:t>
                  </w:r>
                  <w:r>
                    <w:rPr>
                      <w:rFonts w:hint="default" w:ascii="Times New Roman" w:hAnsi="Times New Roman" w:cs="Times New Roman"/>
                      <w:b/>
                      <w:bCs/>
                      <w:color w:val="auto"/>
                      <w:szCs w:val="21"/>
                      <w:highlight w:val="none"/>
                    </w:rPr>
                    <w:t>限值，%</w:t>
                  </w:r>
                </w:p>
              </w:tc>
            </w:tr>
            <w:tr w14:paraId="075AD8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73" w:type="pct"/>
                  <w:vMerge w:val="restart"/>
                  <w:tcBorders>
                    <w:right w:val="single" w:color="auto" w:sz="4" w:space="0"/>
                  </w:tcBorders>
                  <w:noWrap w:val="0"/>
                  <w:vAlign w:val="center"/>
                </w:tcPr>
                <w:p w14:paraId="4D1FBE7C">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溶剂油墨</w:t>
                  </w:r>
                </w:p>
              </w:tc>
              <w:tc>
                <w:tcPr>
                  <w:tcW w:w="2312" w:type="pct"/>
                  <w:tcBorders>
                    <w:left w:val="single" w:color="auto" w:sz="4" w:space="0"/>
                  </w:tcBorders>
                  <w:noWrap w:val="0"/>
                  <w:vAlign w:val="center"/>
                </w:tcPr>
                <w:p w14:paraId="0558F880">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en-US" w:eastAsia="zh-CN"/>
                    </w:rPr>
                    <w:t>凹印油墨</w:t>
                  </w:r>
                </w:p>
              </w:tc>
              <w:tc>
                <w:tcPr>
                  <w:tcW w:w="2214" w:type="pct"/>
                  <w:noWrap w:val="0"/>
                  <w:vAlign w:val="center"/>
                </w:tcPr>
                <w:p w14:paraId="7B89E2CF">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75</w:t>
                  </w:r>
                </w:p>
              </w:tc>
            </w:tr>
            <w:tr w14:paraId="196210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73" w:type="pct"/>
                  <w:vMerge w:val="continue"/>
                  <w:tcBorders>
                    <w:right w:val="single" w:color="auto" w:sz="4" w:space="0"/>
                  </w:tcBorders>
                  <w:noWrap w:val="0"/>
                  <w:vAlign w:val="center"/>
                </w:tcPr>
                <w:p w14:paraId="36BA49EA">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p>
              </w:tc>
              <w:tc>
                <w:tcPr>
                  <w:tcW w:w="2312" w:type="pct"/>
                  <w:tcBorders>
                    <w:left w:val="single" w:color="auto" w:sz="4" w:space="0"/>
                  </w:tcBorders>
                  <w:noWrap w:val="0"/>
                  <w:vAlign w:val="center"/>
                </w:tcPr>
                <w:p w14:paraId="0E51FA9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en-US" w:eastAsia="zh-CN"/>
                    </w:rPr>
                    <w:t>柔印油墨</w:t>
                  </w:r>
                </w:p>
              </w:tc>
              <w:tc>
                <w:tcPr>
                  <w:tcW w:w="2214" w:type="pct"/>
                  <w:noWrap w:val="0"/>
                  <w:vAlign w:val="center"/>
                </w:tcPr>
                <w:p w14:paraId="25C4AA6B">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75</w:t>
                  </w:r>
                </w:p>
              </w:tc>
            </w:tr>
            <w:tr w14:paraId="09142A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73" w:type="pct"/>
                  <w:vMerge w:val="continue"/>
                  <w:tcBorders>
                    <w:right w:val="single" w:color="auto" w:sz="4" w:space="0"/>
                  </w:tcBorders>
                  <w:noWrap w:val="0"/>
                  <w:vAlign w:val="center"/>
                </w:tcPr>
                <w:p w14:paraId="169BF4D9">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p>
              </w:tc>
              <w:tc>
                <w:tcPr>
                  <w:tcW w:w="2312" w:type="pct"/>
                  <w:tcBorders>
                    <w:left w:val="single" w:color="auto" w:sz="4" w:space="0"/>
                  </w:tcBorders>
                  <w:noWrap w:val="0"/>
                  <w:vAlign w:val="center"/>
                </w:tcPr>
                <w:p w14:paraId="5E7B446A">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喷墨</w:t>
                  </w:r>
                  <w:r>
                    <w:rPr>
                      <w:rFonts w:hint="eastAsia" w:ascii="Times New Roman" w:hAnsi="Times New Roman" w:cs="Times New Roman"/>
                      <w:color w:val="auto"/>
                      <w:sz w:val="21"/>
                      <w:szCs w:val="21"/>
                      <w:highlight w:val="none"/>
                      <w:lang w:val="en-US" w:eastAsia="zh-CN"/>
                    </w:rPr>
                    <w:t>印刷</w:t>
                  </w:r>
                  <w:r>
                    <w:rPr>
                      <w:rFonts w:hint="default" w:ascii="Times New Roman" w:hAnsi="Times New Roman" w:cs="Times New Roman"/>
                      <w:color w:val="auto"/>
                      <w:sz w:val="21"/>
                      <w:szCs w:val="21"/>
                      <w:highlight w:val="none"/>
                      <w:lang w:val="en-US" w:eastAsia="zh-CN"/>
                    </w:rPr>
                    <w:t>油墨</w:t>
                  </w:r>
                </w:p>
              </w:tc>
              <w:tc>
                <w:tcPr>
                  <w:tcW w:w="2214" w:type="pct"/>
                  <w:noWrap w:val="0"/>
                  <w:vAlign w:val="center"/>
                </w:tcPr>
                <w:p w14:paraId="34C73DA2">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95</w:t>
                  </w:r>
                </w:p>
              </w:tc>
            </w:tr>
            <w:tr w14:paraId="6FA0B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73" w:type="pct"/>
                  <w:vMerge w:val="continue"/>
                  <w:tcBorders>
                    <w:right w:val="single" w:color="auto" w:sz="4" w:space="0"/>
                  </w:tcBorders>
                  <w:noWrap w:val="0"/>
                  <w:vAlign w:val="center"/>
                </w:tcPr>
                <w:p w14:paraId="79407D5F">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p>
              </w:tc>
              <w:tc>
                <w:tcPr>
                  <w:tcW w:w="2312" w:type="pct"/>
                  <w:tcBorders>
                    <w:left w:val="single" w:color="auto" w:sz="4" w:space="0"/>
                  </w:tcBorders>
                  <w:noWrap w:val="0"/>
                  <w:vAlign w:val="center"/>
                </w:tcPr>
                <w:p w14:paraId="54D882FF">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网印油墨</w:t>
                  </w:r>
                </w:p>
              </w:tc>
              <w:tc>
                <w:tcPr>
                  <w:tcW w:w="2214" w:type="pct"/>
                  <w:noWrap w:val="0"/>
                  <w:vAlign w:val="center"/>
                </w:tcPr>
                <w:p w14:paraId="588C14F1">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75</w:t>
                  </w:r>
                </w:p>
              </w:tc>
            </w:tr>
            <w:tr w14:paraId="71EFC7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73" w:type="pct"/>
                  <w:vMerge w:val="restart"/>
                  <w:tcBorders>
                    <w:right w:val="single" w:color="auto" w:sz="4" w:space="0"/>
                  </w:tcBorders>
                  <w:noWrap w:val="0"/>
                  <w:vAlign w:val="center"/>
                </w:tcPr>
                <w:p w14:paraId="402D95C3">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能量固化油墨</w:t>
                  </w:r>
                </w:p>
              </w:tc>
              <w:tc>
                <w:tcPr>
                  <w:tcW w:w="2312" w:type="pct"/>
                  <w:tcBorders>
                    <w:left w:val="single" w:color="auto" w:sz="4" w:space="0"/>
                  </w:tcBorders>
                  <w:noWrap w:val="0"/>
                  <w:vAlign w:val="center"/>
                </w:tcPr>
                <w:p w14:paraId="605FF9F7">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胶印油墨</w:t>
                  </w:r>
                </w:p>
              </w:tc>
              <w:tc>
                <w:tcPr>
                  <w:tcW w:w="2214" w:type="pct"/>
                  <w:noWrap w:val="0"/>
                  <w:vAlign w:val="center"/>
                </w:tcPr>
                <w:p w14:paraId="3541224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2</w:t>
                  </w:r>
                </w:p>
              </w:tc>
            </w:tr>
            <w:tr w14:paraId="7C2130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73" w:type="pct"/>
                  <w:vMerge w:val="continue"/>
                  <w:tcBorders>
                    <w:right w:val="single" w:color="auto" w:sz="4" w:space="0"/>
                  </w:tcBorders>
                  <w:noWrap w:val="0"/>
                  <w:vAlign w:val="center"/>
                </w:tcPr>
                <w:p w14:paraId="2B8113BC">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p>
              </w:tc>
              <w:tc>
                <w:tcPr>
                  <w:tcW w:w="2312" w:type="pct"/>
                  <w:tcBorders>
                    <w:left w:val="single" w:color="auto" w:sz="4" w:space="0"/>
                  </w:tcBorders>
                  <w:noWrap w:val="0"/>
                  <w:vAlign w:val="center"/>
                </w:tcPr>
                <w:p w14:paraId="4D53534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lang w:val="en-US" w:eastAsia="zh-CN"/>
                    </w:rPr>
                    <w:t>柔印油墨</w:t>
                  </w:r>
                </w:p>
              </w:tc>
              <w:tc>
                <w:tcPr>
                  <w:tcW w:w="2214" w:type="pct"/>
                  <w:noWrap w:val="0"/>
                  <w:vAlign w:val="center"/>
                </w:tcPr>
                <w:p w14:paraId="24E9E67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5</w:t>
                  </w:r>
                </w:p>
              </w:tc>
            </w:tr>
            <w:tr w14:paraId="0F457D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8" w:hRule="atLeast"/>
                <w:jc w:val="center"/>
              </w:trPr>
              <w:tc>
                <w:tcPr>
                  <w:tcW w:w="473" w:type="pct"/>
                  <w:vMerge w:val="continue"/>
                  <w:tcBorders>
                    <w:right w:val="single" w:color="auto" w:sz="4" w:space="0"/>
                  </w:tcBorders>
                  <w:noWrap w:val="0"/>
                  <w:vAlign w:val="center"/>
                </w:tcPr>
                <w:p w14:paraId="085EA4C9">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p>
              </w:tc>
              <w:tc>
                <w:tcPr>
                  <w:tcW w:w="2312" w:type="pct"/>
                  <w:tcBorders>
                    <w:left w:val="single" w:color="auto" w:sz="4" w:space="0"/>
                  </w:tcBorders>
                  <w:noWrap w:val="0"/>
                  <w:vAlign w:val="center"/>
                </w:tcPr>
                <w:p w14:paraId="78D02568">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网印油墨</w:t>
                  </w:r>
                </w:p>
              </w:tc>
              <w:tc>
                <w:tcPr>
                  <w:tcW w:w="2214" w:type="pct"/>
                  <w:noWrap w:val="0"/>
                  <w:vAlign w:val="center"/>
                </w:tcPr>
                <w:p w14:paraId="69708DCC">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5</w:t>
                  </w:r>
                </w:p>
              </w:tc>
            </w:tr>
            <w:tr w14:paraId="7C46F5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8" w:hRule="atLeast"/>
                <w:jc w:val="center"/>
              </w:trPr>
              <w:tc>
                <w:tcPr>
                  <w:tcW w:w="473" w:type="pct"/>
                  <w:vMerge w:val="continue"/>
                  <w:tcBorders>
                    <w:right w:val="single" w:color="auto" w:sz="4" w:space="0"/>
                  </w:tcBorders>
                  <w:noWrap w:val="0"/>
                  <w:vAlign w:val="center"/>
                </w:tcPr>
                <w:p w14:paraId="40BA8471">
                  <w:pPr>
                    <w:jc w:val="center"/>
                    <w:rPr>
                      <w:rFonts w:hint="default" w:ascii="Times New Roman" w:hAnsi="Times New Roman" w:cs="Times New Roman"/>
                      <w:highlight w:val="none"/>
                    </w:rPr>
                  </w:pPr>
                </w:p>
              </w:tc>
              <w:tc>
                <w:tcPr>
                  <w:tcW w:w="2312" w:type="pct"/>
                  <w:tcBorders>
                    <w:left w:val="single" w:color="auto" w:sz="4" w:space="0"/>
                  </w:tcBorders>
                  <w:noWrap w:val="0"/>
                  <w:vAlign w:val="center"/>
                </w:tcPr>
                <w:p w14:paraId="3DFD54BB">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喷墨</w:t>
                  </w:r>
                  <w:r>
                    <w:rPr>
                      <w:rFonts w:hint="eastAsia" w:ascii="Times New Roman" w:hAnsi="Times New Roman" w:cs="Times New Roman"/>
                      <w:color w:val="auto"/>
                      <w:sz w:val="21"/>
                      <w:szCs w:val="21"/>
                      <w:highlight w:val="none"/>
                      <w:lang w:val="en-US" w:eastAsia="zh-CN"/>
                    </w:rPr>
                    <w:t>印刷</w:t>
                  </w:r>
                  <w:r>
                    <w:rPr>
                      <w:rFonts w:hint="default" w:ascii="Times New Roman" w:hAnsi="Times New Roman" w:cs="Times New Roman"/>
                      <w:color w:val="auto"/>
                      <w:sz w:val="21"/>
                      <w:szCs w:val="21"/>
                      <w:highlight w:val="none"/>
                      <w:lang w:val="en-US" w:eastAsia="zh-CN"/>
                    </w:rPr>
                    <w:t>油墨</w:t>
                  </w:r>
                </w:p>
              </w:tc>
              <w:tc>
                <w:tcPr>
                  <w:tcW w:w="2214" w:type="pct"/>
                  <w:noWrap w:val="0"/>
                  <w:vAlign w:val="center"/>
                </w:tcPr>
                <w:p w14:paraId="0F067F15">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p>
              </w:tc>
            </w:tr>
            <w:tr w14:paraId="04A36F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8" w:hRule="atLeast"/>
                <w:jc w:val="center"/>
              </w:trPr>
              <w:tc>
                <w:tcPr>
                  <w:tcW w:w="473" w:type="pct"/>
                  <w:vMerge w:val="continue"/>
                  <w:tcBorders>
                    <w:right w:val="single" w:color="auto" w:sz="4" w:space="0"/>
                  </w:tcBorders>
                  <w:noWrap w:val="0"/>
                  <w:vAlign w:val="center"/>
                </w:tcPr>
                <w:p w14:paraId="7D67979B">
                  <w:pPr>
                    <w:jc w:val="center"/>
                    <w:rPr>
                      <w:rFonts w:hint="default" w:ascii="Times New Roman" w:hAnsi="Times New Roman" w:eastAsia="宋体" w:cs="Times New Roman"/>
                      <w:color w:val="auto"/>
                      <w:sz w:val="21"/>
                      <w:szCs w:val="21"/>
                      <w:highlight w:val="none"/>
                    </w:rPr>
                  </w:pPr>
                </w:p>
              </w:tc>
              <w:tc>
                <w:tcPr>
                  <w:tcW w:w="2312" w:type="pct"/>
                  <w:tcBorders>
                    <w:left w:val="single" w:color="auto" w:sz="4" w:space="0"/>
                  </w:tcBorders>
                  <w:noWrap w:val="0"/>
                  <w:vAlign w:val="center"/>
                </w:tcPr>
                <w:p w14:paraId="0E808C75">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z w:val="21"/>
                      <w:szCs w:val="21"/>
                      <w:highlight w:val="none"/>
                      <w:lang w:val="en-US" w:eastAsia="zh-CN"/>
                    </w:rPr>
                    <w:t>凹印油墨</w:t>
                  </w:r>
                </w:p>
              </w:tc>
              <w:tc>
                <w:tcPr>
                  <w:tcW w:w="2214" w:type="pct"/>
                  <w:noWrap w:val="0"/>
                  <w:vAlign w:val="center"/>
                </w:tcPr>
                <w:p w14:paraId="04DB1A4E">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w:t>
                  </w:r>
                </w:p>
              </w:tc>
            </w:tr>
          </w:tbl>
          <w:p w14:paraId="48F598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本项目所用油墨均为网印油墨，由上表可知，溶剂油墨和能量固化油墨的挥发性有机化合物（VOCs）限值分别为75%和5%。</w:t>
            </w:r>
            <w:r>
              <w:rPr>
                <w:rFonts w:hint="default" w:ascii="Times New Roman" w:hAnsi="Times New Roman" w:eastAsia="宋体" w:cs="Times New Roman"/>
                <w:b w:val="0"/>
                <w:bCs w:val="0"/>
                <w:color w:val="auto"/>
                <w:kern w:val="0"/>
                <w:sz w:val="24"/>
                <w:szCs w:val="24"/>
                <w:highlight w:val="none"/>
                <w:lang w:val="en-US" w:eastAsia="zh-CN" w:bidi="ar"/>
              </w:rPr>
              <w:t>根据委托方提供的物质安全资料表，</w:t>
            </w:r>
            <w:r>
              <w:rPr>
                <w:rFonts w:hint="eastAsia" w:ascii="Times New Roman" w:hAnsi="Times New Roman" w:eastAsia="宋体" w:cs="Times New Roman"/>
                <w:b w:val="0"/>
                <w:bCs w:val="0"/>
                <w:color w:val="auto"/>
                <w:kern w:val="0"/>
                <w:sz w:val="24"/>
                <w:szCs w:val="24"/>
                <w:highlight w:val="none"/>
                <w:lang w:val="en-US" w:eastAsia="zh-CN" w:bidi="ar"/>
              </w:rPr>
              <w:t>溶剂油墨主要成分为：环己酮10%～20%、乙酸正丁酯15%～35%、丁酮15%～35%、聚氯乙烯5%～15%，色粉2%～8%，本项目将溶剂</w:t>
            </w:r>
            <w:r>
              <w:rPr>
                <w:rFonts w:hint="default" w:ascii="Times New Roman" w:hAnsi="Times New Roman" w:eastAsia="宋体" w:cs="Times New Roman"/>
                <w:b w:val="0"/>
                <w:bCs w:val="0"/>
                <w:color w:val="auto"/>
                <w:kern w:val="0"/>
                <w:sz w:val="24"/>
                <w:szCs w:val="24"/>
                <w:highlight w:val="none"/>
                <w:lang w:val="en-US" w:eastAsia="zh-CN" w:bidi="ar"/>
              </w:rPr>
              <w:t>油墨的VOCs占比</w:t>
            </w:r>
            <w:r>
              <w:rPr>
                <w:rFonts w:hint="eastAsia" w:ascii="Times New Roman" w:hAnsi="Times New Roman" w:eastAsia="宋体" w:cs="Times New Roman"/>
                <w:b w:val="0"/>
                <w:bCs w:val="0"/>
                <w:color w:val="auto"/>
                <w:kern w:val="0"/>
                <w:sz w:val="24"/>
                <w:szCs w:val="24"/>
                <w:highlight w:val="none"/>
                <w:lang w:val="en-US" w:eastAsia="zh-CN" w:bidi="ar"/>
              </w:rPr>
              <w:t>设</w:t>
            </w:r>
            <w:r>
              <w:rPr>
                <w:rFonts w:hint="default" w:ascii="Times New Roman" w:hAnsi="Times New Roman" w:eastAsia="宋体" w:cs="Times New Roman"/>
                <w:b w:val="0"/>
                <w:bCs w:val="0"/>
                <w:color w:val="auto"/>
                <w:kern w:val="0"/>
                <w:sz w:val="24"/>
                <w:szCs w:val="24"/>
                <w:highlight w:val="none"/>
                <w:lang w:val="en-US" w:eastAsia="zh-CN" w:bidi="ar"/>
              </w:rPr>
              <w:t>为</w:t>
            </w:r>
            <w:r>
              <w:rPr>
                <w:rFonts w:hint="eastAsia" w:ascii="Times New Roman" w:hAnsi="Times New Roman" w:eastAsia="宋体" w:cs="Times New Roman"/>
                <w:b w:val="0"/>
                <w:bCs w:val="0"/>
                <w:color w:val="auto"/>
                <w:kern w:val="0"/>
                <w:sz w:val="24"/>
                <w:szCs w:val="24"/>
                <w:highlight w:val="none"/>
                <w:lang w:val="en-US" w:eastAsia="zh-CN" w:bidi="ar"/>
              </w:rPr>
              <w:t>75</w:t>
            </w:r>
            <w:r>
              <w:rPr>
                <w:rFonts w:hint="default" w:ascii="Times New Roman" w:hAnsi="Times New Roman" w:eastAsia="宋体" w:cs="Times New Roman"/>
                <w:b w:val="0"/>
                <w:bCs w:val="0"/>
                <w:color w:val="auto"/>
                <w:kern w:val="0"/>
                <w:sz w:val="24"/>
                <w:szCs w:val="24"/>
                <w:highlight w:val="none"/>
                <w:lang w:val="en-US" w:eastAsia="zh-CN" w:bidi="ar"/>
              </w:rPr>
              <w:t>%（最大不利）</w:t>
            </w:r>
            <w:r>
              <w:rPr>
                <w:rFonts w:hint="eastAsia" w:ascii="Times New Roman" w:hAnsi="Times New Roman" w:eastAsia="宋体" w:cs="Times New Roman"/>
                <w:b w:val="0"/>
                <w:bCs w:val="0"/>
                <w:color w:val="auto"/>
                <w:kern w:val="0"/>
                <w:sz w:val="24"/>
                <w:szCs w:val="24"/>
                <w:highlight w:val="none"/>
                <w:lang w:val="en-US" w:eastAsia="zh-CN" w:bidi="ar"/>
              </w:rPr>
              <w:t>。</w:t>
            </w:r>
          </w:p>
          <w:p w14:paraId="3C62E36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FF000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bidi="ar"/>
              </w:rPr>
              <w:t>UV</w:t>
            </w:r>
            <w:r>
              <w:rPr>
                <w:rFonts w:hint="default" w:ascii="Times New Roman" w:hAnsi="Times New Roman" w:eastAsia="宋体" w:cs="Times New Roman"/>
                <w:b w:val="0"/>
                <w:bCs w:val="0"/>
                <w:color w:val="auto"/>
                <w:kern w:val="0"/>
                <w:sz w:val="24"/>
                <w:szCs w:val="24"/>
                <w:highlight w:val="none"/>
                <w:lang w:val="en-US" w:eastAsia="zh-CN" w:bidi="ar"/>
              </w:rPr>
              <w:t>油墨主要成分为：改性聚氨酯丙烯酸脂</w:t>
            </w:r>
            <w:r>
              <w:rPr>
                <w:rFonts w:hint="eastAsia" w:ascii="Times New Roman" w:hAnsi="Times New Roman" w:eastAsia="宋体" w:cs="Times New Roman"/>
                <w:b w:val="0"/>
                <w:bCs w:val="0"/>
                <w:color w:val="auto"/>
                <w:kern w:val="0"/>
                <w:sz w:val="24"/>
                <w:szCs w:val="24"/>
                <w:highlight w:val="none"/>
                <w:lang w:val="en-US" w:eastAsia="zh-CN" w:bidi="ar"/>
              </w:rPr>
              <w:t>32%～44%</w:t>
            </w:r>
            <w:r>
              <w:rPr>
                <w:rFonts w:hint="default" w:ascii="Times New Roman" w:hAnsi="Times New Roman" w:eastAsia="宋体" w:cs="Times New Roman"/>
                <w:b w:val="0"/>
                <w:bCs w:val="0"/>
                <w:color w:val="auto"/>
                <w:kern w:val="0"/>
                <w:sz w:val="24"/>
                <w:szCs w:val="24"/>
                <w:highlight w:val="none"/>
                <w:lang w:val="en-US" w:eastAsia="zh-CN" w:bidi="ar"/>
              </w:rPr>
              <w:t>、三丙二</w:t>
            </w:r>
            <w:r>
              <w:rPr>
                <w:rFonts w:hint="default" w:ascii="Times New Roman" w:hAnsi="Times New Roman" w:eastAsia="宋体" w:cs="Times New Roman"/>
                <w:b w:val="0"/>
                <w:bCs w:val="0"/>
                <w:color w:val="000000"/>
                <w:kern w:val="0"/>
                <w:sz w:val="24"/>
                <w:szCs w:val="24"/>
                <w:highlight w:val="none"/>
                <w:lang w:val="en-US" w:eastAsia="zh-CN" w:bidi="ar"/>
              </w:rPr>
              <w:t>醇丙烯酸脂</w:t>
            </w:r>
            <w:r>
              <w:rPr>
                <w:rFonts w:hint="eastAsia" w:ascii="Times New Roman" w:hAnsi="Times New Roman" w:eastAsia="宋体" w:cs="Times New Roman"/>
                <w:b w:val="0"/>
                <w:bCs w:val="0"/>
                <w:color w:val="000000"/>
                <w:kern w:val="0"/>
                <w:sz w:val="24"/>
                <w:szCs w:val="24"/>
                <w:highlight w:val="none"/>
                <w:lang w:val="en-US" w:eastAsia="zh-CN" w:bidi="ar"/>
              </w:rPr>
              <w:t>6%—10%</w:t>
            </w:r>
            <w:r>
              <w:rPr>
                <w:rFonts w:hint="default" w:ascii="Times New Roman" w:hAnsi="Times New Roman" w:eastAsia="宋体" w:cs="Times New Roman"/>
                <w:b w:val="0"/>
                <w:bCs w:val="0"/>
                <w:color w:val="000000"/>
                <w:kern w:val="0"/>
                <w:sz w:val="24"/>
                <w:szCs w:val="24"/>
                <w:highlight w:val="none"/>
                <w:lang w:val="en-US" w:eastAsia="zh-CN" w:bidi="ar"/>
              </w:rPr>
              <w:t>、苯氧基</w:t>
            </w:r>
            <w:r>
              <w:rPr>
                <w:rFonts w:hint="eastAsia" w:ascii="Times New Roman" w:hAnsi="Times New Roman" w:eastAsia="宋体" w:cs="Times New Roman"/>
                <w:b w:val="0"/>
                <w:bCs w:val="0"/>
                <w:color w:val="000000"/>
                <w:kern w:val="0"/>
                <w:sz w:val="24"/>
                <w:szCs w:val="24"/>
                <w:highlight w:val="none"/>
                <w:lang w:val="en-US" w:eastAsia="zh-CN" w:bidi="ar"/>
              </w:rPr>
              <w:t>己基</w:t>
            </w:r>
            <w:r>
              <w:rPr>
                <w:rFonts w:hint="default" w:ascii="Times New Roman" w:hAnsi="Times New Roman" w:eastAsia="宋体" w:cs="Times New Roman"/>
                <w:b w:val="0"/>
                <w:bCs w:val="0"/>
                <w:color w:val="000000"/>
                <w:kern w:val="0"/>
                <w:sz w:val="24"/>
                <w:szCs w:val="24"/>
                <w:highlight w:val="none"/>
                <w:lang w:val="en-US" w:eastAsia="zh-CN" w:bidi="ar"/>
              </w:rPr>
              <w:t>丙烯酸酯</w:t>
            </w:r>
            <w:r>
              <w:rPr>
                <w:rFonts w:hint="eastAsia" w:ascii="Times New Roman" w:hAnsi="Times New Roman" w:eastAsia="宋体" w:cs="Times New Roman"/>
                <w:b w:val="0"/>
                <w:bCs w:val="0"/>
                <w:color w:val="000000"/>
                <w:kern w:val="0"/>
                <w:sz w:val="24"/>
                <w:szCs w:val="24"/>
                <w:highlight w:val="none"/>
                <w:lang w:val="en-US" w:eastAsia="zh-CN" w:bidi="ar"/>
              </w:rPr>
              <w:t>6%—10%</w:t>
            </w:r>
            <w:r>
              <w:rPr>
                <w:rFonts w:hint="default" w:ascii="Times New Roman" w:hAnsi="Times New Roman" w:eastAsia="宋体" w:cs="Times New Roman"/>
                <w:b w:val="0"/>
                <w:bCs w:val="0"/>
                <w:color w:val="auto"/>
                <w:kern w:val="0"/>
                <w:sz w:val="24"/>
                <w:szCs w:val="24"/>
                <w:highlight w:val="none"/>
                <w:lang w:val="en-US" w:eastAsia="zh-CN" w:bidi="ar"/>
              </w:rPr>
              <w:t>、光引发剂</w:t>
            </w:r>
            <w:r>
              <w:rPr>
                <w:rFonts w:hint="eastAsia" w:ascii="Times New Roman" w:hAnsi="Times New Roman" w:eastAsia="宋体" w:cs="Times New Roman"/>
                <w:b w:val="0"/>
                <w:bCs w:val="0"/>
                <w:color w:val="auto"/>
                <w:kern w:val="0"/>
                <w:sz w:val="24"/>
                <w:szCs w:val="24"/>
                <w:highlight w:val="none"/>
                <w:lang w:val="en-US" w:eastAsia="zh-CN" w:bidi="ar"/>
              </w:rPr>
              <w:t>5%～7%</w:t>
            </w:r>
            <w:r>
              <w:rPr>
                <w:rFonts w:hint="default" w:ascii="Times New Roman" w:hAnsi="Times New Roman" w:eastAsia="宋体" w:cs="Times New Roman"/>
                <w:b w:val="0"/>
                <w:bCs w:val="0"/>
                <w:color w:val="auto"/>
                <w:kern w:val="0"/>
                <w:sz w:val="24"/>
                <w:szCs w:val="24"/>
                <w:highlight w:val="none"/>
                <w:lang w:val="en-US" w:eastAsia="zh-CN" w:bidi="ar"/>
              </w:rPr>
              <w:t>、单体</w:t>
            </w:r>
            <w:r>
              <w:rPr>
                <w:rFonts w:hint="eastAsia" w:ascii="Times New Roman" w:hAnsi="Times New Roman" w:eastAsia="宋体" w:cs="Times New Roman"/>
                <w:b w:val="0"/>
                <w:bCs w:val="0"/>
                <w:color w:val="auto"/>
                <w:kern w:val="0"/>
                <w:sz w:val="24"/>
                <w:szCs w:val="24"/>
                <w:highlight w:val="none"/>
                <w:lang w:val="en-US" w:eastAsia="zh-CN" w:bidi="ar"/>
              </w:rPr>
              <w:t>17%～22%</w:t>
            </w:r>
            <w:r>
              <w:rPr>
                <w:rFonts w:hint="default" w:ascii="Times New Roman" w:hAnsi="Times New Roman" w:eastAsia="宋体" w:cs="Times New Roman"/>
                <w:b w:val="0"/>
                <w:bCs w:val="0"/>
                <w:color w:val="auto"/>
                <w:kern w:val="0"/>
                <w:sz w:val="24"/>
                <w:szCs w:val="24"/>
                <w:highlight w:val="none"/>
                <w:lang w:val="en-US" w:eastAsia="zh-CN" w:bidi="ar"/>
              </w:rPr>
              <w:t>、纤维素</w:t>
            </w:r>
            <w:r>
              <w:rPr>
                <w:rFonts w:hint="eastAsia" w:ascii="Times New Roman" w:hAnsi="Times New Roman" w:eastAsia="宋体" w:cs="Times New Roman"/>
                <w:b w:val="0"/>
                <w:bCs w:val="0"/>
                <w:color w:val="auto"/>
                <w:kern w:val="0"/>
                <w:sz w:val="24"/>
                <w:szCs w:val="24"/>
                <w:highlight w:val="none"/>
                <w:lang w:val="en-US" w:eastAsia="zh-CN" w:bidi="ar"/>
              </w:rPr>
              <w:t>2%～4%</w:t>
            </w:r>
            <w:r>
              <w:rPr>
                <w:rFonts w:hint="default" w:ascii="Times New Roman" w:hAnsi="Times New Roman" w:eastAsia="宋体" w:cs="Times New Roman"/>
                <w:b w:val="0"/>
                <w:bCs w:val="0"/>
                <w:color w:val="auto"/>
                <w:kern w:val="0"/>
                <w:sz w:val="24"/>
                <w:szCs w:val="24"/>
                <w:highlight w:val="none"/>
                <w:lang w:val="en-US" w:eastAsia="zh-CN" w:bidi="ar"/>
              </w:rPr>
              <w:t>、钛白粉</w:t>
            </w:r>
            <w:r>
              <w:rPr>
                <w:rFonts w:hint="eastAsia" w:ascii="Times New Roman" w:hAnsi="Times New Roman" w:eastAsia="宋体" w:cs="Times New Roman"/>
                <w:b w:val="0"/>
                <w:bCs w:val="0"/>
                <w:color w:val="auto"/>
                <w:kern w:val="0"/>
                <w:sz w:val="24"/>
                <w:szCs w:val="24"/>
                <w:highlight w:val="none"/>
                <w:lang w:val="en-US" w:eastAsia="zh-CN" w:bidi="ar"/>
              </w:rPr>
              <w:t>0～30%</w:t>
            </w:r>
            <w:r>
              <w:rPr>
                <w:rFonts w:hint="default" w:ascii="Times New Roman" w:hAnsi="Times New Roman" w:eastAsia="宋体" w:cs="Times New Roman"/>
                <w:b w:val="0"/>
                <w:bCs w:val="0"/>
                <w:color w:val="auto"/>
                <w:kern w:val="0"/>
                <w:sz w:val="24"/>
                <w:szCs w:val="24"/>
                <w:highlight w:val="none"/>
                <w:lang w:val="en-US" w:eastAsia="zh-CN" w:bidi="ar"/>
              </w:rPr>
              <w:t>、色粉</w:t>
            </w:r>
            <w:r>
              <w:rPr>
                <w:rFonts w:hint="eastAsia" w:ascii="Times New Roman" w:hAnsi="Times New Roman" w:eastAsia="宋体" w:cs="Times New Roman"/>
                <w:b w:val="0"/>
                <w:bCs w:val="0"/>
                <w:color w:val="auto"/>
                <w:kern w:val="0"/>
                <w:sz w:val="24"/>
                <w:szCs w:val="24"/>
                <w:highlight w:val="none"/>
                <w:lang w:val="en-US" w:eastAsia="zh-CN" w:bidi="ar"/>
              </w:rPr>
              <w:t>0～6%</w:t>
            </w:r>
            <w:r>
              <w:rPr>
                <w:rFonts w:hint="default" w:ascii="Times New Roman" w:hAnsi="Times New Roman" w:eastAsia="宋体" w:cs="Times New Roman"/>
                <w:b w:val="0"/>
                <w:bCs w:val="0"/>
                <w:color w:val="auto"/>
                <w:kern w:val="0"/>
                <w:sz w:val="24"/>
                <w:szCs w:val="24"/>
                <w:highlight w:val="none"/>
                <w:lang w:val="en-US" w:eastAsia="zh-CN" w:bidi="ar"/>
              </w:rPr>
              <w:t>。这之中</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仅有苯氧基</w:t>
            </w:r>
            <w:r>
              <w:rPr>
                <w:rFonts w:hint="eastAsia" w:ascii="Times New Roman" w:hAnsi="Times New Roman" w:eastAsia="宋体" w:cs="Times New Roman"/>
                <w:b w:val="0"/>
                <w:bCs w:val="0"/>
                <w:color w:val="auto"/>
                <w:kern w:val="0"/>
                <w:sz w:val="24"/>
                <w:szCs w:val="24"/>
                <w:highlight w:val="none"/>
                <w:lang w:val="en-US" w:eastAsia="zh-CN" w:bidi="ar"/>
              </w:rPr>
              <w:t>己基</w:t>
            </w:r>
            <w:r>
              <w:rPr>
                <w:rFonts w:hint="default" w:ascii="Times New Roman" w:hAnsi="Times New Roman" w:eastAsia="宋体" w:cs="Times New Roman"/>
                <w:b w:val="0"/>
                <w:bCs w:val="0"/>
                <w:color w:val="auto"/>
                <w:kern w:val="0"/>
                <w:sz w:val="24"/>
                <w:szCs w:val="24"/>
                <w:highlight w:val="none"/>
                <w:lang w:val="en-US" w:eastAsia="zh-CN" w:bidi="ar"/>
              </w:rPr>
              <w:t>丙烯酸酯会少量挥发，且丙烯酸酯类属于易聚合VOCs成分，</w:t>
            </w:r>
            <w:r>
              <w:rPr>
                <w:rFonts w:hint="eastAsia" w:ascii="Times New Roman" w:hAnsi="Times New Roman" w:eastAsia="宋体" w:cs="Times New Roman"/>
                <w:b w:val="0"/>
                <w:bCs w:val="0"/>
                <w:color w:val="auto"/>
                <w:kern w:val="0"/>
                <w:sz w:val="24"/>
                <w:szCs w:val="24"/>
                <w:highlight w:val="none"/>
                <w:lang w:val="en-US" w:eastAsia="zh-CN" w:bidi="ar"/>
              </w:rPr>
              <w:t>往往会在使用过程中自聚合</w:t>
            </w:r>
            <w:r>
              <w:rPr>
                <w:rFonts w:hint="default" w:ascii="Times New Roman" w:hAnsi="Times New Roman" w:eastAsia="宋体" w:cs="Times New Roman"/>
                <w:b w:val="0"/>
                <w:bCs w:val="0"/>
                <w:color w:val="auto"/>
                <w:kern w:val="0"/>
                <w:sz w:val="24"/>
                <w:szCs w:val="24"/>
                <w:highlight w:val="none"/>
                <w:lang w:val="en-US" w:eastAsia="zh-CN" w:bidi="ar"/>
              </w:rPr>
              <w:t>，</w:t>
            </w:r>
            <w:r>
              <w:rPr>
                <w:rFonts w:hint="eastAsia" w:ascii="Times New Roman" w:hAnsi="Times New Roman" w:eastAsia="宋体" w:cs="Times New Roman"/>
                <w:b w:val="0"/>
                <w:bCs w:val="0"/>
                <w:color w:val="auto"/>
                <w:kern w:val="0"/>
                <w:sz w:val="24"/>
                <w:szCs w:val="24"/>
                <w:highlight w:val="none"/>
                <w:lang w:val="en-US" w:eastAsia="zh-CN" w:bidi="ar"/>
              </w:rPr>
              <w:t>从而难以得到可</w:t>
            </w:r>
            <w:r>
              <w:rPr>
                <w:rFonts w:hint="default" w:ascii="Times New Roman" w:hAnsi="Times New Roman" w:eastAsia="宋体" w:cs="Times New Roman"/>
                <w:b w:val="0"/>
                <w:bCs w:val="0"/>
                <w:color w:val="auto"/>
                <w:kern w:val="0"/>
                <w:sz w:val="24"/>
                <w:szCs w:val="24"/>
                <w:highlight w:val="none"/>
                <w:lang w:val="en-US" w:eastAsia="zh-CN" w:bidi="ar"/>
              </w:rPr>
              <w:t>挥发的单体占总溶剂剂量</w:t>
            </w:r>
            <w:r>
              <w:rPr>
                <w:rFonts w:hint="eastAsia" w:ascii="Times New Roman" w:hAnsi="Times New Roman" w:eastAsia="宋体" w:cs="Times New Roman"/>
                <w:b w:val="0"/>
                <w:bCs w:val="0"/>
                <w:color w:val="auto"/>
                <w:kern w:val="0"/>
                <w:sz w:val="24"/>
                <w:szCs w:val="24"/>
                <w:highlight w:val="none"/>
                <w:lang w:val="en-US" w:eastAsia="zh-CN" w:bidi="ar"/>
              </w:rPr>
              <w:t>的具体</w:t>
            </w:r>
            <w:r>
              <w:rPr>
                <w:rFonts w:hint="default" w:ascii="Times New Roman" w:hAnsi="Times New Roman" w:eastAsia="宋体" w:cs="Times New Roman"/>
                <w:b w:val="0"/>
                <w:bCs w:val="0"/>
                <w:color w:val="auto"/>
                <w:kern w:val="0"/>
                <w:sz w:val="24"/>
                <w:szCs w:val="24"/>
                <w:highlight w:val="none"/>
                <w:lang w:val="en-US" w:eastAsia="zh-CN" w:bidi="ar"/>
              </w:rPr>
              <w:t>比例</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因此，</w:t>
            </w:r>
            <w:r>
              <w:rPr>
                <w:rFonts w:hint="eastAsia" w:ascii="Times New Roman" w:hAnsi="Times New Roman" w:eastAsia="宋体" w:cs="Times New Roman"/>
                <w:b w:val="0"/>
                <w:bCs w:val="0"/>
                <w:color w:val="auto"/>
                <w:kern w:val="0"/>
                <w:sz w:val="24"/>
                <w:szCs w:val="24"/>
                <w:highlight w:val="none"/>
                <w:lang w:val="en-US" w:eastAsia="zh-CN" w:bidi="ar"/>
              </w:rPr>
              <w:t>本项目将</w:t>
            </w:r>
            <w:r>
              <w:rPr>
                <w:rFonts w:hint="default" w:ascii="Times New Roman" w:hAnsi="Times New Roman" w:eastAsia="宋体" w:cs="Times New Roman"/>
                <w:b w:val="0"/>
                <w:bCs w:val="0"/>
                <w:color w:val="auto"/>
                <w:kern w:val="0"/>
                <w:sz w:val="24"/>
                <w:szCs w:val="24"/>
                <w:highlight w:val="none"/>
                <w:lang w:val="en-US" w:eastAsia="zh-CN" w:bidi="ar"/>
              </w:rPr>
              <w:t>UV油墨的VOCs占比</w:t>
            </w:r>
            <w:r>
              <w:rPr>
                <w:rFonts w:hint="eastAsia" w:ascii="Times New Roman" w:hAnsi="Times New Roman" w:eastAsia="宋体" w:cs="Times New Roman"/>
                <w:b w:val="0"/>
                <w:bCs w:val="0"/>
                <w:color w:val="auto"/>
                <w:kern w:val="0"/>
                <w:sz w:val="24"/>
                <w:szCs w:val="24"/>
                <w:highlight w:val="none"/>
                <w:lang w:val="en-US" w:eastAsia="zh-CN" w:bidi="ar"/>
              </w:rPr>
              <w:t>设</w:t>
            </w:r>
            <w:r>
              <w:rPr>
                <w:rFonts w:hint="default" w:ascii="Times New Roman" w:hAnsi="Times New Roman" w:eastAsia="宋体" w:cs="Times New Roman"/>
                <w:b w:val="0"/>
                <w:bCs w:val="0"/>
                <w:color w:val="auto"/>
                <w:kern w:val="0"/>
                <w:sz w:val="24"/>
                <w:szCs w:val="24"/>
                <w:highlight w:val="none"/>
                <w:lang w:val="en-US" w:eastAsia="zh-CN" w:bidi="ar"/>
              </w:rPr>
              <w:t>为</w:t>
            </w:r>
            <w:r>
              <w:rPr>
                <w:rFonts w:hint="eastAsia" w:ascii="Times New Roman" w:hAnsi="Times New Roman" w:eastAsia="宋体" w:cs="Times New Roman"/>
                <w:b w:val="0"/>
                <w:bCs w:val="0"/>
                <w:color w:val="auto"/>
                <w:kern w:val="0"/>
                <w:sz w:val="24"/>
                <w:szCs w:val="24"/>
                <w:highlight w:val="none"/>
                <w:lang w:val="en-US" w:eastAsia="zh-CN" w:bidi="ar"/>
              </w:rPr>
              <w:t>5</w:t>
            </w:r>
            <w:r>
              <w:rPr>
                <w:rFonts w:hint="default" w:ascii="Times New Roman" w:hAnsi="Times New Roman" w:eastAsia="宋体" w:cs="Times New Roman"/>
                <w:b w:val="0"/>
                <w:bCs w:val="0"/>
                <w:color w:val="auto"/>
                <w:kern w:val="0"/>
                <w:sz w:val="24"/>
                <w:szCs w:val="24"/>
                <w:highlight w:val="none"/>
                <w:lang w:val="en-US" w:eastAsia="zh-CN" w:bidi="ar"/>
              </w:rPr>
              <w:t>%（最大不利），</w:t>
            </w:r>
            <w:r>
              <w:rPr>
                <w:rFonts w:hint="eastAsia" w:ascii="Times New Roman" w:hAnsi="Times New Roman" w:eastAsia="宋体" w:cs="Times New Roman"/>
                <w:b w:val="0"/>
                <w:bCs w:val="0"/>
                <w:color w:val="auto"/>
                <w:kern w:val="0"/>
                <w:sz w:val="24"/>
                <w:szCs w:val="24"/>
                <w:highlight w:val="none"/>
                <w:lang w:val="en-US" w:eastAsia="zh-CN" w:bidi="ar"/>
              </w:rPr>
              <w:t>即</w:t>
            </w:r>
            <w:r>
              <w:rPr>
                <w:rFonts w:hint="default" w:ascii="Times New Roman" w:hAnsi="Times New Roman" w:eastAsia="宋体" w:cs="Times New Roman"/>
                <w:b w:val="0"/>
                <w:bCs w:val="0"/>
                <w:color w:val="auto"/>
                <w:kern w:val="0"/>
                <w:sz w:val="24"/>
                <w:szCs w:val="24"/>
                <w:highlight w:val="none"/>
                <w:lang w:val="en-US" w:eastAsia="zh-CN" w:bidi="ar"/>
              </w:rPr>
              <w:t>符合《油墨中可挥发性有机化合物</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VOCs</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含量的限值》</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GB 38507-2020</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中表1</w:t>
            </w:r>
            <w:r>
              <w:rPr>
                <w:rFonts w:hint="eastAsia" w:ascii="Times New Roman" w:hAnsi="Times New Roman" w:eastAsia="宋体" w:cs="Times New Roman"/>
                <w:b w:val="0"/>
                <w:bCs w:val="0"/>
                <w:color w:val="auto"/>
                <w:kern w:val="0"/>
                <w:sz w:val="24"/>
                <w:szCs w:val="24"/>
                <w:highlight w:val="none"/>
                <w:lang w:val="en-US" w:eastAsia="zh-CN" w:bidi="ar"/>
              </w:rPr>
              <w:t>的最大限值要求</w:t>
            </w:r>
            <w:r>
              <w:rPr>
                <w:rFonts w:hint="default" w:ascii="Times New Roman" w:hAnsi="Times New Roman" w:eastAsia="宋体" w:cs="Times New Roman"/>
                <w:b w:val="0"/>
                <w:bCs w:val="0"/>
                <w:color w:val="auto"/>
                <w:kern w:val="0"/>
                <w:sz w:val="24"/>
                <w:szCs w:val="24"/>
                <w:highlight w:val="none"/>
                <w:lang w:val="en-US" w:eastAsia="zh-CN" w:bidi="ar"/>
              </w:rPr>
              <w:t>。</w:t>
            </w:r>
          </w:p>
          <w:p w14:paraId="1A32090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sz w:val="24"/>
                <w:szCs w:val="24"/>
                <w:highlight w:val="none"/>
                <w:lang w:val="en-US" w:eastAsia="zh-CN"/>
              </w:rPr>
              <w:t>本项目所用清洗剂主要成分为乙酸甲酯</w:t>
            </w:r>
            <w:r>
              <w:rPr>
                <w:rFonts w:hint="eastAsia" w:ascii="Times New Roman" w:hAnsi="Times New Roman" w:cs="Times New Roman"/>
                <w:sz w:val="24"/>
                <w:szCs w:val="24"/>
                <w:highlight w:val="none"/>
                <w:lang w:val="en-US" w:eastAsia="zh-CN"/>
              </w:rPr>
              <w:t>40%—60%、乙酸乙酯20%—30%、乙酸正丙酯10%—20%</w:t>
            </w:r>
            <w:r>
              <w:rPr>
                <w:rFonts w:hint="default" w:ascii="Times New Roman" w:hAnsi="Times New Roman" w:cs="Times New Roman"/>
                <w:sz w:val="24"/>
                <w:szCs w:val="24"/>
                <w:highlight w:val="none"/>
                <w:lang w:val="en-US" w:eastAsia="zh-CN"/>
              </w:rPr>
              <w:t>、其他</w:t>
            </w:r>
            <w:r>
              <w:rPr>
                <w:rFonts w:hint="eastAsia" w:ascii="Times New Roman" w:hAnsi="Times New Roman" w:cs="Times New Roman"/>
                <w:sz w:val="24"/>
                <w:szCs w:val="24"/>
                <w:highlight w:val="none"/>
                <w:lang w:val="en-US" w:eastAsia="zh-CN"/>
              </w:rPr>
              <w:t>5%—10%。</w:t>
            </w:r>
            <w:r>
              <w:rPr>
                <w:rFonts w:hint="eastAsia" w:ascii="Times New Roman" w:hAnsi="Times New Roman" w:cs="Times New Roman"/>
                <w:color w:val="auto"/>
                <w:sz w:val="24"/>
                <w:szCs w:val="24"/>
                <w:highlight w:val="none"/>
                <w:lang w:val="en-US" w:eastAsia="zh-CN"/>
              </w:rPr>
              <w:t>本项目将清洗剂的VOCs占比设为100%（最大不利）。</w:t>
            </w:r>
          </w:p>
          <w:p w14:paraId="5A77F377">
            <w:pPr>
              <w:pStyle w:val="12"/>
              <w:pBdr>
                <w:bottom w:val="none" w:color="auto" w:sz="0" w:space="0"/>
              </w:pBd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根据生产工艺流程分析，</w:t>
            </w: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废气主要为</w:t>
            </w:r>
            <w:r>
              <w:rPr>
                <w:rFonts w:hint="eastAsia" w:ascii="Times New Roman" w:hAnsi="Times New Roman" w:eastAsia="宋体" w:cs="Times New Roman"/>
                <w:color w:val="auto"/>
                <w:sz w:val="24"/>
                <w:szCs w:val="24"/>
                <w:highlight w:val="none"/>
                <w:lang w:val="en-US" w:eastAsia="zh-CN"/>
              </w:rPr>
              <w:t>调墨、</w:t>
            </w:r>
            <w:r>
              <w:rPr>
                <w:rFonts w:hint="default" w:ascii="Times New Roman" w:hAnsi="Times New Roman" w:eastAsia="宋体" w:cs="Times New Roman"/>
                <w:color w:val="auto"/>
                <w:sz w:val="24"/>
                <w:szCs w:val="24"/>
                <w:highlight w:val="none"/>
                <w:lang w:val="en-US" w:eastAsia="zh-CN"/>
              </w:rPr>
              <w:t>印刷过程中</w:t>
            </w:r>
            <w:r>
              <w:rPr>
                <w:rFonts w:hint="eastAsia" w:ascii="Times New Roman" w:hAnsi="Times New Roman" w:eastAsia="宋体" w:cs="Times New Roman"/>
                <w:color w:val="auto"/>
                <w:sz w:val="24"/>
                <w:szCs w:val="24"/>
                <w:highlight w:val="none"/>
                <w:lang w:val="en-US" w:eastAsia="zh-CN"/>
              </w:rPr>
              <w:t>油墨使用和清洗剂擦拭网版</w:t>
            </w:r>
            <w:r>
              <w:rPr>
                <w:rFonts w:hint="default" w:ascii="Times New Roman" w:hAnsi="Times New Roman" w:eastAsia="宋体" w:cs="Times New Roman"/>
                <w:color w:val="auto"/>
                <w:sz w:val="24"/>
                <w:szCs w:val="24"/>
                <w:highlight w:val="none"/>
                <w:lang w:val="en-US" w:eastAsia="zh-CN"/>
              </w:rPr>
              <w:t>产生</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有机废气（以非甲烷总烃计）</w:t>
            </w:r>
            <w:r>
              <w:rPr>
                <w:rFonts w:hint="eastAsia" w:ascii="Times New Roman" w:hAnsi="Times New Roman" w:eastAsia="宋体" w:cs="Times New Roman"/>
                <w:color w:val="auto"/>
                <w:sz w:val="24"/>
                <w:szCs w:val="24"/>
                <w:highlight w:val="none"/>
                <w:lang w:val="en-US" w:eastAsia="zh-CN"/>
              </w:rPr>
              <w:t>。按照物料平衡法计算，即含有挥发性有机物物料年度使用量*其挥发性有机物占比，可计算出该物料的VOCs产生量，将所有物料的VOCs产生量加和，即可算出VOCs年度总产生量，详见表4.2-4</w:t>
            </w:r>
            <w:r>
              <w:rPr>
                <w:rFonts w:hint="default" w:ascii="Times New Roman" w:hAnsi="Times New Roman" w:eastAsia="宋体" w:cs="Times New Roman"/>
                <w:color w:val="auto"/>
                <w:sz w:val="24"/>
                <w:szCs w:val="24"/>
                <w:highlight w:val="none"/>
                <w:lang w:val="en-US" w:eastAsia="zh-CN"/>
              </w:rPr>
              <w:t>。</w:t>
            </w:r>
          </w:p>
          <w:p w14:paraId="1D40B57B">
            <w:pPr>
              <w:spacing w:line="360" w:lineRule="auto"/>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4.2</w:t>
            </w: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cs="Times New Roman"/>
                <w:b/>
                <w:bCs/>
                <w:color w:val="auto"/>
                <w:sz w:val="24"/>
                <w:highlight w:val="none"/>
              </w:rPr>
              <w:t xml:space="preserve"> </w:t>
            </w:r>
            <w:r>
              <w:rPr>
                <w:rFonts w:hint="eastAsia" w:ascii="Times New Roman" w:hAnsi="Times New Roman" w:eastAsia="宋体" w:cs="Times New Roman"/>
                <w:b/>
                <w:bCs/>
                <w:color w:val="auto"/>
                <w:sz w:val="24"/>
                <w:highlight w:val="none"/>
                <w:lang w:val="en-US" w:eastAsia="zh-CN"/>
              </w:rPr>
              <w:t>项目印刷工序非甲烷总烃平衡表</w:t>
            </w:r>
          </w:p>
          <w:tbl>
            <w:tblPr>
              <w:tblStyle w:val="1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78"/>
              <w:gridCol w:w="1620"/>
              <w:gridCol w:w="1770"/>
              <w:gridCol w:w="2625"/>
            </w:tblGrid>
            <w:tr w14:paraId="26F749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62" w:hRule="atLeast"/>
                <w:tblHeader/>
                <w:jc w:val="center"/>
              </w:trPr>
              <w:tc>
                <w:tcPr>
                  <w:tcW w:w="2078" w:type="dxa"/>
                  <w:noWrap w:val="0"/>
                  <w:vAlign w:val="center"/>
                </w:tcPr>
                <w:p w14:paraId="4D200911">
                  <w:pPr>
                    <w:spacing w:line="34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原辅材料</w:t>
                  </w:r>
                </w:p>
              </w:tc>
              <w:tc>
                <w:tcPr>
                  <w:tcW w:w="1620" w:type="dxa"/>
                  <w:noWrap w:val="0"/>
                  <w:vAlign w:val="center"/>
                </w:tcPr>
                <w:p w14:paraId="45C00682">
                  <w:pPr>
                    <w:spacing w:line="34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使用量（t/a）</w:t>
                  </w:r>
                </w:p>
              </w:tc>
              <w:tc>
                <w:tcPr>
                  <w:tcW w:w="1770" w:type="dxa"/>
                  <w:noWrap w:val="0"/>
                  <w:vAlign w:val="center"/>
                </w:tcPr>
                <w:p w14:paraId="0D4E202F">
                  <w:pPr>
                    <w:spacing w:line="34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挥发性有机物最大不利占比</w:t>
                  </w:r>
                </w:p>
              </w:tc>
              <w:tc>
                <w:tcPr>
                  <w:tcW w:w="2625" w:type="dxa"/>
                  <w:noWrap w:val="0"/>
                  <w:vAlign w:val="center"/>
                </w:tcPr>
                <w:p w14:paraId="4F80F0DF">
                  <w:pPr>
                    <w:spacing w:line="340" w:lineRule="exact"/>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非甲烷总烃产生量</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t/a</w:t>
                  </w:r>
                  <w:r>
                    <w:rPr>
                      <w:rFonts w:hint="eastAsia" w:ascii="Times New Roman" w:hAnsi="Times New Roman" w:eastAsia="宋体" w:cs="Times New Roman"/>
                      <w:color w:val="auto"/>
                      <w:highlight w:val="none"/>
                      <w:lang w:eastAsia="zh-CN"/>
                    </w:rPr>
                    <w:t>）</w:t>
                  </w:r>
                </w:p>
              </w:tc>
            </w:tr>
            <w:tr w14:paraId="560691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2078" w:type="dxa"/>
                  <w:shd w:val="clear" w:color="auto" w:fill="auto"/>
                  <w:noWrap w:val="0"/>
                  <w:vAlign w:val="center"/>
                </w:tcPr>
                <w:p w14:paraId="0BFD03D2">
                  <w:pPr>
                    <w:spacing w:line="3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溶剂油墨</w:t>
                  </w:r>
                </w:p>
              </w:tc>
              <w:tc>
                <w:tcPr>
                  <w:tcW w:w="1620" w:type="dxa"/>
                  <w:shd w:val="clear" w:color="auto" w:fill="auto"/>
                  <w:noWrap w:val="0"/>
                  <w:vAlign w:val="center"/>
                </w:tcPr>
                <w:p w14:paraId="64FD00DD">
                  <w:pPr>
                    <w:spacing w:line="340" w:lineRule="exact"/>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0.1</w:t>
                  </w:r>
                </w:p>
              </w:tc>
              <w:tc>
                <w:tcPr>
                  <w:tcW w:w="1770" w:type="dxa"/>
                  <w:shd w:val="clear" w:color="auto" w:fill="auto"/>
                  <w:noWrap w:val="0"/>
                  <w:vAlign w:val="center"/>
                </w:tcPr>
                <w:p w14:paraId="3ED16C69">
                  <w:pPr>
                    <w:spacing w:line="3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75%</w:t>
                  </w:r>
                </w:p>
              </w:tc>
              <w:tc>
                <w:tcPr>
                  <w:tcW w:w="2625" w:type="dxa"/>
                  <w:vMerge w:val="restart"/>
                  <w:noWrap w:val="0"/>
                  <w:vAlign w:val="center"/>
                </w:tcPr>
                <w:p w14:paraId="68706840">
                  <w:pPr>
                    <w:spacing w:line="34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0.4500</w:t>
                  </w:r>
                </w:p>
              </w:tc>
            </w:tr>
            <w:tr w14:paraId="1376B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2078" w:type="dxa"/>
                  <w:shd w:val="clear" w:color="auto" w:fill="auto"/>
                  <w:noWrap w:val="0"/>
                  <w:vAlign w:val="center"/>
                </w:tcPr>
                <w:p w14:paraId="60B618EE">
                  <w:pPr>
                    <w:spacing w:line="3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UV油墨</w:t>
                  </w:r>
                </w:p>
              </w:tc>
              <w:tc>
                <w:tcPr>
                  <w:tcW w:w="1620" w:type="dxa"/>
                  <w:shd w:val="clear" w:color="auto" w:fill="auto"/>
                  <w:noWrap w:val="0"/>
                  <w:vAlign w:val="center"/>
                </w:tcPr>
                <w:p w14:paraId="57C0C0C3">
                  <w:pPr>
                    <w:spacing w:line="3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1.5</w:t>
                  </w:r>
                </w:p>
              </w:tc>
              <w:tc>
                <w:tcPr>
                  <w:tcW w:w="1770" w:type="dxa"/>
                  <w:shd w:val="clear" w:color="auto" w:fill="auto"/>
                  <w:noWrap w:val="0"/>
                  <w:vAlign w:val="center"/>
                </w:tcPr>
                <w:p w14:paraId="4F996239">
                  <w:pPr>
                    <w:spacing w:line="340" w:lineRule="exact"/>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5%</w:t>
                  </w:r>
                </w:p>
              </w:tc>
              <w:tc>
                <w:tcPr>
                  <w:tcW w:w="2625" w:type="dxa"/>
                  <w:vMerge w:val="continue"/>
                  <w:noWrap w:val="0"/>
                  <w:vAlign w:val="center"/>
                </w:tcPr>
                <w:p w14:paraId="12C40B30">
                  <w:pPr>
                    <w:spacing w:line="340" w:lineRule="exact"/>
                    <w:jc w:val="center"/>
                    <w:rPr>
                      <w:rFonts w:hint="default" w:ascii="Times New Roman" w:hAnsi="Times New Roman" w:cs="Times New Roman"/>
                      <w:color w:val="auto"/>
                      <w:highlight w:val="none"/>
                    </w:rPr>
                  </w:pPr>
                </w:p>
              </w:tc>
            </w:tr>
            <w:tr w14:paraId="70678B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2078" w:type="dxa"/>
                  <w:shd w:val="clear" w:color="auto" w:fill="auto"/>
                  <w:noWrap w:val="0"/>
                  <w:vAlign w:val="center"/>
                </w:tcPr>
                <w:p w14:paraId="262FECCF">
                  <w:pPr>
                    <w:spacing w:line="340" w:lineRule="exact"/>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清洗剂</w:t>
                  </w:r>
                </w:p>
              </w:tc>
              <w:tc>
                <w:tcPr>
                  <w:tcW w:w="1620" w:type="dxa"/>
                  <w:shd w:val="clear" w:color="auto" w:fill="auto"/>
                  <w:noWrap w:val="0"/>
                  <w:vAlign w:val="center"/>
                </w:tcPr>
                <w:p w14:paraId="1CE45533">
                  <w:pPr>
                    <w:spacing w:line="340" w:lineRule="exact"/>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0.3</w:t>
                  </w:r>
                </w:p>
              </w:tc>
              <w:tc>
                <w:tcPr>
                  <w:tcW w:w="1770" w:type="dxa"/>
                  <w:shd w:val="clear" w:color="auto" w:fill="auto"/>
                  <w:noWrap w:val="0"/>
                  <w:vAlign w:val="center"/>
                </w:tcPr>
                <w:p w14:paraId="2ABA378F">
                  <w:pPr>
                    <w:spacing w:line="340" w:lineRule="exact"/>
                    <w:jc w:val="center"/>
                    <w:rPr>
                      <w:rFonts w:hint="eastAsia"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highlight w:val="none"/>
                      <w:lang w:val="en-US" w:eastAsia="zh-CN"/>
                    </w:rPr>
                    <w:t>100%</w:t>
                  </w:r>
                </w:p>
              </w:tc>
              <w:tc>
                <w:tcPr>
                  <w:tcW w:w="2625" w:type="dxa"/>
                  <w:vMerge w:val="continue"/>
                  <w:noWrap w:val="0"/>
                  <w:vAlign w:val="center"/>
                </w:tcPr>
                <w:p w14:paraId="6726BFB5">
                  <w:pPr>
                    <w:spacing w:line="340" w:lineRule="exact"/>
                    <w:jc w:val="center"/>
                    <w:rPr>
                      <w:rFonts w:hint="default" w:ascii="Times New Roman" w:hAnsi="Times New Roman" w:cs="Times New Roman"/>
                      <w:color w:val="auto"/>
                      <w:highlight w:val="none"/>
                    </w:rPr>
                  </w:pPr>
                </w:p>
              </w:tc>
            </w:tr>
          </w:tbl>
          <w:p w14:paraId="4B35B143">
            <w:pPr>
              <w:pStyle w:val="12"/>
              <w:pBdr>
                <w:bottom w:val="none" w:color="auto" w:sz="0" w:space="0"/>
              </w:pBd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（2）高温成型废气</w:t>
            </w:r>
          </w:p>
          <w:p w14:paraId="5ECB96B1">
            <w:pPr>
              <w:pStyle w:val="12"/>
              <w:pBdr>
                <w:bottom w:val="none" w:color="auto" w:sz="0" w:space="0"/>
              </w:pBd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高温机</w:t>
            </w:r>
            <w:r>
              <w:rPr>
                <w:rFonts w:hint="default" w:ascii="Times New Roman" w:hAnsi="Times New Roman" w:eastAsia="宋体" w:cs="Times New Roman"/>
                <w:color w:val="auto"/>
                <w:sz w:val="24"/>
                <w:szCs w:val="24"/>
                <w:highlight w:val="none"/>
                <w:lang w:val="en-US" w:eastAsia="zh-CN"/>
              </w:rPr>
              <w:t>年使用TPU膜</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0t，</w:t>
            </w:r>
            <w:r>
              <w:rPr>
                <w:rFonts w:hint="eastAsia" w:ascii="Times New Roman" w:hAnsi="Times New Roman" w:eastAsia="宋体" w:cs="Times New Roman"/>
                <w:color w:val="auto"/>
                <w:sz w:val="24"/>
                <w:szCs w:val="24"/>
                <w:highlight w:val="none"/>
                <w:lang w:val="en-US" w:eastAsia="zh-CN"/>
              </w:rPr>
              <w:t>PVC</w:t>
            </w:r>
            <w:r>
              <w:rPr>
                <w:rFonts w:hint="default" w:ascii="Times New Roman" w:hAnsi="Times New Roman" w:eastAsia="宋体" w:cs="Times New Roman"/>
                <w:color w:val="auto"/>
                <w:sz w:val="24"/>
                <w:szCs w:val="24"/>
                <w:highlight w:val="none"/>
                <w:lang w:val="en-US" w:eastAsia="zh-CN"/>
              </w:rPr>
              <w:t>膜</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0t，根据《空气污染物排放和控制手册》（美国国家环保局），中</w:t>
            </w:r>
            <w:r>
              <w:rPr>
                <w:rFonts w:hint="eastAsia" w:ascii="宋体" w:hAnsi="宋体" w:eastAsia="宋体" w:cs="宋体"/>
                <w:color w:val="auto"/>
                <w:sz w:val="24"/>
                <w:szCs w:val="24"/>
                <w:highlight w:val="none"/>
                <w:lang w:val="en-US" w:eastAsia="zh-CN"/>
              </w:rPr>
              <w:t>“未加控制的塑胶料生产排放因子”</w:t>
            </w:r>
            <w:r>
              <w:rPr>
                <w:rFonts w:hint="default" w:ascii="Times New Roman" w:hAnsi="Times New Roman" w:eastAsia="宋体" w:cs="Times New Roman"/>
                <w:color w:val="auto"/>
                <w:sz w:val="24"/>
                <w:szCs w:val="24"/>
                <w:highlight w:val="none"/>
                <w:lang w:val="en-US" w:eastAsia="zh-CN"/>
              </w:rPr>
              <w:t>推荐的系数0.35kg/t-原料进行核算，以非甲烷总烃计，则项目非甲烷总烃产生量为0.</w:t>
            </w:r>
            <w:r>
              <w:rPr>
                <w:rFonts w:hint="eastAsia" w:ascii="Times New Roman" w:hAnsi="Times New Roman" w:eastAsia="宋体" w:cs="Times New Roman"/>
                <w:color w:val="auto"/>
                <w:sz w:val="24"/>
                <w:szCs w:val="24"/>
                <w:highlight w:val="none"/>
                <w:lang w:val="en-US" w:eastAsia="zh-CN"/>
              </w:rPr>
              <w:t>021</w:t>
            </w:r>
            <w:r>
              <w:rPr>
                <w:rFonts w:hint="default" w:ascii="Times New Roman" w:hAnsi="Times New Roman" w:eastAsia="宋体" w:cs="Times New Roman"/>
                <w:color w:val="auto"/>
                <w:sz w:val="24"/>
                <w:szCs w:val="24"/>
                <w:highlight w:val="none"/>
                <w:lang w:val="en-US" w:eastAsia="zh-CN"/>
              </w:rPr>
              <w:t>t/a</w:t>
            </w:r>
          </w:p>
          <w:p w14:paraId="118AE093">
            <w:pPr>
              <w:pStyle w:val="12"/>
              <w:pBdr>
                <w:bottom w:val="none" w:color="auto" w:sz="0" w:space="0"/>
              </w:pBd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项目生产车间门窗紧闭，密闭性好。建设单位拟在床围带机上方设置集气罩，将有机废气集中收集，引至</w:t>
            </w:r>
            <w:r>
              <w:rPr>
                <w:rFonts w:hint="eastAsia" w:ascii="Times New Roman" w:hAnsi="Times New Roman" w:eastAsia="宋体" w:cs="Times New Roman"/>
                <w:color w:val="auto"/>
                <w:sz w:val="24"/>
                <w:szCs w:val="24"/>
                <w:highlight w:val="none"/>
                <w:lang w:val="en-US" w:eastAsia="zh-CN"/>
              </w:rPr>
              <w:t>二级活性炭吸附装置</w:t>
            </w:r>
            <w:r>
              <w:rPr>
                <w:rFonts w:hint="default" w:ascii="Times New Roman" w:hAnsi="Times New Roman" w:eastAsia="宋体" w:cs="Times New Roman"/>
                <w:color w:val="auto"/>
                <w:sz w:val="24"/>
                <w:szCs w:val="24"/>
                <w:highlight w:val="none"/>
                <w:lang w:val="en-US" w:eastAsia="zh-CN"/>
              </w:rPr>
              <w:t>净化处理，最终于1根15m高排气筒（DA001）排放。设置风机风量为10000m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/h，集气罩敞开面处风速不小于0.5m/s，参照《浙江省重点行业VOCS排放源排放量计算方法》中VOCs认定收集效率表，收集效率按80%计算，详见表4</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p>
          <w:p w14:paraId="551CA592">
            <w:pPr>
              <w:spacing w:before="120" w:beforeLines="5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表4</w:t>
            </w:r>
            <w:r>
              <w:rPr>
                <w:rFonts w:hint="eastAsia" w:ascii="Times New Roman" w:hAnsi="Times New Roman" w:eastAsia="宋体" w:cs="Times New Roman"/>
                <w:b/>
                <w:color w:val="auto"/>
                <w:sz w:val="24"/>
                <w:highlight w:val="none"/>
                <w:lang w:val="en-US" w:eastAsia="zh-CN"/>
              </w:rPr>
              <w:t>.2-5</w:t>
            </w:r>
            <w:r>
              <w:rPr>
                <w:rFonts w:hint="default" w:ascii="Times New Roman" w:hAnsi="Times New Roman" w:cs="Times New Roman"/>
                <w:b/>
                <w:color w:val="auto"/>
                <w:sz w:val="24"/>
                <w:highlight w:val="none"/>
              </w:rPr>
              <w:t xml:space="preserve"> VOC</w:t>
            </w:r>
            <w:r>
              <w:rPr>
                <w:rFonts w:hint="default" w:ascii="Times New Roman" w:hAnsi="Times New Roman" w:cs="Times New Roman"/>
                <w:b/>
                <w:color w:val="auto"/>
                <w:sz w:val="24"/>
                <w:highlight w:val="none"/>
                <w:vertAlign w:val="subscript"/>
              </w:rPr>
              <w:t>S</w:t>
            </w:r>
            <w:r>
              <w:rPr>
                <w:rFonts w:hint="default" w:ascii="Times New Roman" w:hAnsi="Times New Roman" w:cs="Times New Roman"/>
                <w:b/>
                <w:color w:val="auto"/>
                <w:sz w:val="24"/>
                <w:highlight w:val="none"/>
              </w:rPr>
              <w:t>认定收集效率表</w:t>
            </w:r>
          </w:p>
          <w:tbl>
            <w:tblPr>
              <w:tblStyle w:val="18"/>
              <w:tblW w:w="81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245"/>
              <w:gridCol w:w="5610"/>
            </w:tblGrid>
            <w:tr w14:paraId="66157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1" w:type="dxa"/>
                  <w:vAlign w:val="center"/>
                </w:tcPr>
                <w:p w14:paraId="5D078804">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收集方式</w:t>
                  </w:r>
                </w:p>
              </w:tc>
              <w:tc>
                <w:tcPr>
                  <w:tcW w:w="1245" w:type="dxa"/>
                  <w:vAlign w:val="center"/>
                </w:tcPr>
                <w:p w14:paraId="4C931DE9">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收集效率%</w:t>
                  </w:r>
                </w:p>
              </w:tc>
              <w:tc>
                <w:tcPr>
                  <w:tcW w:w="5610" w:type="dxa"/>
                  <w:vAlign w:val="center"/>
                </w:tcPr>
                <w:p w14:paraId="602BDDCE">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达到上限效率必须满足的条件，否则按下限计</w:t>
                  </w:r>
                </w:p>
              </w:tc>
            </w:tr>
            <w:tr w14:paraId="7F1F7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1" w:type="dxa"/>
                  <w:tcBorders>
                    <w:bottom w:val="single" w:color="auto" w:sz="4" w:space="0"/>
                  </w:tcBorders>
                  <w:vAlign w:val="center"/>
                </w:tcPr>
                <w:p w14:paraId="7E062E1E">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设备废气排口直连</w:t>
                  </w:r>
                </w:p>
              </w:tc>
              <w:tc>
                <w:tcPr>
                  <w:tcW w:w="1245" w:type="dxa"/>
                  <w:tcBorders>
                    <w:bottom w:val="single" w:color="auto" w:sz="4" w:space="0"/>
                  </w:tcBorders>
                  <w:vAlign w:val="center"/>
                </w:tcPr>
                <w:p w14:paraId="316B18A1">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80-95</w:t>
                  </w:r>
                </w:p>
              </w:tc>
              <w:tc>
                <w:tcPr>
                  <w:tcW w:w="5610" w:type="dxa"/>
                  <w:tcBorders>
                    <w:bottom w:val="single" w:color="auto" w:sz="4" w:space="0"/>
                  </w:tcBorders>
                  <w:vAlign w:val="center"/>
                </w:tcPr>
                <w:p w14:paraId="2E7A0CDA">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设备有固定排放管</w:t>
                  </w:r>
                  <w:r>
                    <w:rPr>
                      <w:rFonts w:hint="eastAsia" w:ascii="Times New Roman" w:hAnsi="Times New Roman" w:eastAsia="宋体" w:cs="Times New Roman"/>
                      <w:bCs/>
                      <w:color w:val="auto"/>
                      <w:szCs w:val="21"/>
                      <w:highlight w:val="none"/>
                      <w:lang w:eastAsia="zh-CN"/>
                    </w:rPr>
                    <w:t>（</w:t>
                  </w:r>
                  <w:r>
                    <w:rPr>
                      <w:rFonts w:hint="default" w:ascii="Times New Roman" w:hAnsi="Times New Roman" w:cs="Times New Roman"/>
                      <w:bCs/>
                      <w:color w:val="auto"/>
                      <w:szCs w:val="21"/>
                      <w:highlight w:val="none"/>
                    </w:rPr>
                    <w:t>或口</w:t>
                  </w:r>
                  <w:r>
                    <w:rPr>
                      <w:rFonts w:hint="eastAsia" w:ascii="Times New Roman" w:hAnsi="Times New Roman" w:eastAsia="宋体" w:cs="Times New Roman"/>
                      <w:bCs/>
                      <w:color w:val="auto"/>
                      <w:szCs w:val="21"/>
                      <w:highlight w:val="none"/>
                      <w:lang w:eastAsia="zh-CN"/>
                    </w:rPr>
                    <w:t>）</w:t>
                  </w:r>
                  <w:r>
                    <w:rPr>
                      <w:rFonts w:hint="default" w:ascii="Times New Roman" w:hAnsi="Times New Roman" w:cs="Times New Roman"/>
                      <w:bCs/>
                      <w:color w:val="auto"/>
                      <w:szCs w:val="21"/>
                      <w:highlight w:val="none"/>
                    </w:rPr>
                    <w:t>直接与风管连接，设备整体密闭只留产品进出口，且进出口处有废气收集措施，收集系统运行时周边基本无VOC</w:t>
                  </w:r>
                  <w:r>
                    <w:rPr>
                      <w:rFonts w:hint="default" w:ascii="Times New Roman" w:hAnsi="Times New Roman" w:cs="Times New Roman"/>
                      <w:bCs/>
                      <w:color w:val="auto"/>
                      <w:szCs w:val="21"/>
                      <w:highlight w:val="none"/>
                      <w:vertAlign w:val="subscript"/>
                    </w:rPr>
                    <w:t>S</w:t>
                  </w:r>
                  <w:r>
                    <w:rPr>
                      <w:rFonts w:hint="default" w:ascii="Times New Roman" w:hAnsi="Times New Roman" w:cs="Times New Roman"/>
                      <w:bCs/>
                      <w:color w:val="auto"/>
                      <w:szCs w:val="21"/>
                      <w:highlight w:val="none"/>
                    </w:rPr>
                    <w:t>散发。</w:t>
                  </w:r>
                </w:p>
              </w:tc>
            </w:tr>
            <w:tr w14:paraId="07287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1" w:type="dxa"/>
                  <w:tcBorders>
                    <w:bottom w:val="single" w:color="auto" w:sz="4" w:space="0"/>
                  </w:tcBorders>
                  <w:vAlign w:val="center"/>
                </w:tcPr>
                <w:p w14:paraId="0E1F7C6E">
                  <w:pPr>
                    <w:spacing w:line="340" w:lineRule="exact"/>
                    <w:jc w:val="center"/>
                    <w:rPr>
                      <w:rFonts w:hint="default" w:ascii="Times New Roman" w:hAnsi="Times New Roman" w:eastAsia="Arial" w:cs="Times New Roman"/>
                      <w:bCs/>
                      <w:snapToGrid w:val="0"/>
                      <w:color w:val="000000"/>
                      <w:kern w:val="0"/>
                      <w:sz w:val="21"/>
                      <w:szCs w:val="21"/>
                      <w:highlight w:val="none"/>
                    </w:rPr>
                  </w:pPr>
                  <w:r>
                    <w:rPr>
                      <w:rFonts w:hint="default" w:ascii="Times New Roman" w:hAnsi="Times New Roman" w:cs="Times New Roman"/>
                      <w:bCs/>
                      <w:szCs w:val="21"/>
                      <w:highlight w:val="none"/>
                    </w:rPr>
                    <w:t>车间或密闭间进行密闭收集</w:t>
                  </w:r>
                </w:p>
              </w:tc>
              <w:tc>
                <w:tcPr>
                  <w:tcW w:w="1245" w:type="dxa"/>
                  <w:tcBorders>
                    <w:bottom w:val="single" w:color="auto" w:sz="4" w:space="0"/>
                  </w:tcBorders>
                  <w:vAlign w:val="center"/>
                </w:tcPr>
                <w:p w14:paraId="4A23179F">
                  <w:pPr>
                    <w:spacing w:line="340" w:lineRule="exact"/>
                    <w:jc w:val="center"/>
                    <w:rPr>
                      <w:rFonts w:hint="default" w:ascii="Times New Roman" w:hAnsi="Times New Roman" w:eastAsia="Arial" w:cs="Times New Roman"/>
                      <w:bCs/>
                      <w:snapToGrid w:val="0"/>
                      <w:color w:val="000000"/>
                      <w:kern w:val="0"/>
                      <w:sz w:val="21"/>
                      <w:szCs w:val="21"/>
                      <w:highlight w:val="none"/>
                    </w:rPr>
                  </w:pPr>
                  <w:r>
                    <w:rPr>
                      <w:rFonts w:hint="default" w:ascii="Times New Roman" w:hAnsi="Times New Roman" w:cs="Times New Roman"/>
                      <w:bCs/>
                      <w:szCs w:val="21"/>
                      <w:highlight w:val="none"/>
                    </w:rPr>
                    <w:t>80-95</w:t>
                  </w:r>
                </w:p>
              </w:tc>
              <w:tc>
                <w:tcPr>
                  <w:tcW w:w="5610" w:type="dxa"/>
                  <w:tcBorders>
                    <w:bottom w:val="single" w:color="auto" w:sz="4" w:space="0"/>
                  </w:tcBorders>
                  <w:vAlign w:val="center"/>
                </w:tcPr>
                <w:p w14:paraId="7B10249C">
                  <w:pPr>
                    <w:spacing w:line="340" w:lineRule="exact"/>
                    <w:jc w:val="center"/>
                    <w:rPr>
                      <w:rFonts w:hint="default" w:ascii="Times New Roman" w:hAnsi="Times New Roman" w:eastAsia="Arial" w:cs="Times New Roman"/>
                      <w:bCs/>
                      <w:snapToGrid w:val="0"/>
                      <w:color w:val="000000"/>
                      <w:kern w:val="0"/>
                      <w:sz w:val="21"/>
                      <w:szCs w:val="21"/>
                      <w:highlight w:val="none"/>
                    </w:rPr>
                  </w:pPr>
                  <w:r>
                    <w:rPr>
                      <w:rFonts w:hint="default" w:ascii="Times New Roman" w:hAnsi="Times New Roman" w:cs="Times New Roman"/>
                      <w:bCs/>
                      <w:szCs w:val="21"/>
                      <w:highlight w:val="none"/>
                    </w:rPr>
                    <w:t>屋面现浇</w:t>
                  </w:r>
                  <w:r>
                    <w:rPr>
                      <w:rFonts w:hint="default" w:ascii="Times New Roman" w:hAnsi="Times New Roman" w:cs="Times New Roman"/>
                      <w:bCs/>
                      <w:color w:val="auto"/>
                      <w:szCs w:val="21"/>
                      <w:highlight w:val="none"/>
                    </w:rPr>
                    <w:t>，四周墙壁或门窗等密闭性</w:t>
                  </w:r>
                  <w:r>
                    <w:rPr>
                      <w:rFonts w:hint="eastAsia" w:ascii="Times New Roman" w:hAnsi="Times New Roman" w:eastAsia="宋体" w:cs="Times New Roman"/>
                      <w:bCs/>
                      <w:color w:val="auto"/>
                      <w:szCs w:val="21"/>
                      <w:highlight w:val="none"/>
                      <w:lang w:val="en-US" w:eastAsia="zh-CN"/>
                    </w:rPr>
                    <w:t>好</w:t>
                  </w:r>
                  <w:r>
                    <w:rPr>
                      <w:rFonts w:hint="default" w:ascii="Times New Roman" w:hAnsi="Times New Roman" w:cs="Times New Roman"/>
                      <w:bCs/>
                      <w:color w:val="auto"/>
                      <w:szCs w:val="21"/>
                      <w:highlight w:val="none"/>
                    </w:rPr>
                    <w:t>。收集总风量能确保开口处保持微负压</w:t>
                  </w:r>
                  <w:r>
                    <w:rPr>
                      <w:rFonts w:hint="eastAsia" w:ascii="Times New Roman" w:hAnsi="Times New Roman" w:eastAsia="宋体" w:cs="Times New Roman"/>
                      <w:bCs/>
                      <w:color w:val="auto"/>
                      <w:szCs w:val="21"/>
                      <w:highlight w:val="none"/>
                      <w:lang w:eastAsia="zh-CN"/>
                    </w:rPr>
                    <w:t>（</w:t>
                  </w:r>
                  <w:r>
                    <w:rPr>
                      <w:rFonts w:hint="default" w:ascii="Times New Roman" w:hAnsi="Times New Roman" w:cs="Times New Roman"/>
                      <w:bCs/>
                      <w:color w:val="auto"/>
                      <w:szCs w:val="21"/>
                      <w:highlight w:val="none"/>
                    </w:rPr>
                    <w:t>敞开截面处的吸入风速不小于0.5m/s</w:t>
                  </w:r>
                  <w:r>
                    <w:rPr>
                      <w:rFonts w:hint="eastAsia" w:ascii="Times New Roman" w:hAnsi="Times New Roman" w:eastAsia="宋体" w:cs="Times New Roman"/>
                      <w:bCs/>
                      <w:color w:val="auto"/>
                      <w:szCs w:val="21"/>
                      <w:highlight w:val="none"/>
                      <w:lang w:eastAsia="zh-CN"/>
                    </w:rPr>
                    <w:t>）</w:t>
                  </w:r>
                  <w:r>
                    <w:rPr>
                      <w:rFonts w:hint="default" w:ascii="Times New Roman" w:hAnsi="Times New Roman" w:cs="Times New Roman"/>
                      <w:bCs/>
                      <w:color w:val="auto"/>
                      <w:szCs w:val="21"/>
                      <w:highlight w:val="none"/>
                    </w:rPr>
                    <w:t>，不让废气外泄</w:t>
                  </w:r>
                  <w:r>
                    <w:rPr>
                      <w:rFonts w:hint="default" w:ascii="Times New Roman" w:hAnsi="Times New Roman" w:cs="Times New Roman"/>
                      <w:bCs/>
                      <w:szCs w:val="21"/>
                      <w:highlight w:val="none"/>
                    </w:rPr>
                    <w:t>。</w:t>
                  </w:r>
                </w:p>
              </w:tc>
            </w:tr>
            <w:tr w14:paraId="4C0C4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01" w:type="dxa"/>
                  <w:tcBorders>
                    <w:top w:val="single" w:color="auto" w:sz="4" w:space="0"/>
                  </w:tcBorders>
                  <w:vAlign w:val="center"/>
                </w:tcPr>
                <w:p w14:paraId="3BC4D88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热态上吸风罩</w:t>
                  </w:r>
                </w:p>
              </w:tc>
              <w:tc>
                <w:tcPr>
                  <w:tcW w:w="1245" w:type="dxa"/>
                  <w:tcBorders>
                    <w:top w:val="single" w:color="auto" w:sz="4" w:space="0"/>
                  </w:tcBorders>
                  <w:vAlign w:val="center"/>
                </w:tcPr>
                <w:p w14:paraId="447E4DB4">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30-60</w:t>
                  </w:r>
                </w:p>
              </w:tc>
              <w:tc>
                <w:tcPr>
                  <w:tcW w:w="5610" w:type="dxa"/>
                  <w:tcBorders>
                    <w:top w:val="single" w:color="auto" w:sz="4" w:space="0"/>
                  </w:tcBorders>
                  <w:vAlign w:val="center"/>
                </w:tcPr>
                <w:p w14:paraId="588AF7D4">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污染物产生点</w:t>
                  </w:r>
                  <w:r>
                    <w:rPr>
                      <w:rFonts w:hint="eastAsia" w:ascii="Times New Roman" w:hAnsi="Times New Roman" w:eastAsia="宋体" w:cs="Times New Roman"/>
                      <w:bCs/>
                      <w:szCs w:val="21"/>
                      <w:highlight w:val="none"/>
                      <w:lang w:eastAsia="zh-CN"/>
                    </w:rPr>
                    <w:t>（</w:t>
                  </w:r>
                  <w:r>
                    <w:rPr>
                      <w:rFonts w:hint="default" w:ascii="Times New Roman" w:hAnsi="Times New Roman" w:cs="Times New Roman"/>
                      <w:bCs/>
                      <w:szCs w:val="21"/>
                      <w:highlight w:val="none"/>
                    </w:rPr>
                    <w:t>面</w:t>
                  </w:r>
                  <w:r>
                    <w:rPr>
                      <w:rFonts w:hint="eastAsia" w:ascii="Times New Roman" w:hAnsi="Times New Roman" w:eastAsia="宋体" w:cs="Times New Roman"/>
                      <w:bCs/>
                      <w:szCs w:val="21"/>
                      <w:highlight w:val="none"/>
                      <w:lang w:eastAsia="zh-CN"/>
                    </w:rPr>
                    <w:t>）</w:t>
                  </w:r>
                  <w:r>
                    <w:rPr>
                      <w:rFonts w:hint="default" w:ascii="Times New Roman" w:hAnsi="Times New Roman" w:cs="Times New Roman"/>
                      <w:bCs/>
                      <w:szCs w:val="21"/>
                      <w:highlight w:val="none"/>
                    </w:rPr>
                    <w:t>处，往吸入口方向的控制风速不小于0.5m/s。热态指污染源散发气体温度≥60℃</w:t>
                  </w:r>
                </w:p>
              </w:tc>
            </w:tr>
            <w:tr w14:paraId="5D3A8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1" w:type="dxa"/>
                  <w:vAlign w:val="center"/>
                </w:tcPr>
                <w:p w14:paraId="10EF2221">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highlight w:val="none"/>
                    </w:rPr>
                    <w:t>冷态上吸风罩</w:t>
                  </w:r>
                </w:p>
              </w:tc>
              <w:tc>
                <w:tcPr>
                  <w:tcW w:w="1245" w:type="dxa"/>
                  <w:vAlign w:val="center"/>
                </w:tcPr>
                <w:p w14:paraId="0D18509F">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20-50</w:t>
                  </w:r>
                </w:p>
              </w:tc>
              <w:tc>
                <w:tcPr>
                  <w:tcW w:w="5610" w:type="dxa"/>
                  <w:vAlign w:val="center"/>
                </w:tcPr>
                <w:p w14:paraId="43EEA2D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污染物产生点</w:t>
                  </w:r>
                  <w:r>
                    <w:rPr>
                      <w:rFonts w:hint="eastAsia" w:ascii="Times New Roman" w:hAnsi="Times New Roman" w:eastAsia="宋体" w:cs="Times New Roman"/>
                      <w:bCs/>
                      <w:szCs w:val="21"/>
                      <w:highlight w:val="none"/>
                      <w:lang w:eastAsia="zh-CN"/>
                    </w:rPr>
                    <w:t>（</w:t>
                  </w:r>
                  <w:r>
                    <w:rPr>
                      <w:rFonts w:hint="default" w:ascii="Times New Roman" w:hAnsi="Times New Roman" w:cs="Times New Roman"/>
                      <w:bCs/>
                      <w:szCs w:val="21"/>
                      <w:highlight w:val="none"/>
                    </w:rPr>
                    <w:t>面</w:t>
                  </w:r>
                  <w:r>
                    <w:rPr>
                      <w:rFonts w:hint="eastAsia" w:ascii="Times New Roman" w:hAnsi="Times New Roman" w:eastAsia="宋体" w:cs="Times New Roman"/>
                      <w:bCs/>
                      <w:szCs w:val="21"/>
                      <w:highlight w:val="none"/>
                      <w:lang w:eastAsia="zh-CN"/>
                    </w:rPr>
                    <w:t>）</w:t>
                  </w:r>
                  <w:r>
                    <w:rPr>
                      <w:rFonts w:hint="default" w:ascii="Times New Roman" w:hAnsi="Times New Roman" w:cs="Times New Roman"/>
                      <w:bCs/>
                      <w:szCs w:val="21"/>
                      <w:highlight w:val="none"/>
                    </w:rPr>
                    <w:t>处，往吸入口方向的控制风速不小于0.25m/s。冷态指污染源散发气体温度&lt;60℃</w:t>
                  </w:r>
                </w:p>
              </w:tc>
            </w:tr>
            <w:tr w14:paraId="4639E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1" w:type="dxa"/>
                  <w:vAlign w:val="center"/>
                </w:tcPr>
                <w:p w14:paraId="3AE71F72">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highlight w:val="none"/>
                    </w:rPr>
                    <w:t>侧吸风罩</w:t>
                  </w:r>
                </w:p>
              </w:tc>
              <w:tc>
                <w:tcPr>
                  <w:tcW w:w="1245" w:type="dxa"/>
                  <w:vAlign w:val="center"/>
                </w:tcPr>
                <w:p w14:paraId="6D9F518B">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20-40</w:t>
                  </w:r>
                </w:p>
              </w:tc>
              <w:tc>
                <w:tcPr>
                  <w:tcW w:w="5610" w:type="dxa"/>
                  <w:vAlign w:val="center"/>
                </w:tcPr>
                <w:p w14:paraId="34D920CF">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污染物产生点</w:t>
                  </w:r>
                  <w:r>
                    <w:rPr>
                      <w:rFonts w:hint="eastAsia" w:ascii="Times New Roman" w:hAnsi="Times New Roman" w:eastAsia="宋体" w:cs="Times New Roman"/>
                      <w:bCs/>
                      <w:szCs w:val="21"/>
                      <w:highlight w:val="none"/>
                      <w:lang w:eastAsia="zh-CN"/>
                    </w:rPr>
                    <w:t>（</w:t>
                  </w:r>
                  <w:r>
                    <w:rPr>
                      <w:rFonts w:hint="default" w:ascii="Times New Roman" w:hAnsi="Times New Roman" w:cs="Times New Roman"/>
                      <w:bCs/>
                      <w:szCs w:val="21"/>
                      <w:highlight w:val="none"/>
                    </w:rPr>
                    <w:t>面</w:t>
                  </w:r>
                  <w:r>
                    <w:rPr>
                      <w:rFonts w:hint="eastAsia" w:ascii="Times New Roman" w:hAnsi="Times New Roman" w:eastAsia="宋体" w:cs="Times New Roman"/>
                      <w:bCs/>
                      <w:szCs w:val="21"/>
                      <w:highlight w:val="none"/>
                      <w:lang w:eastAsia="zh-CN"/>
                    </w:rPr>
                    <w:t>）</w:t>
                  </w:r>
                  <w:r>
                    <w:rPr>
                      <w:rFonts w:hint="default" w:ascii="Times New Roman" w:hAnsi="Times New Roman" w:cs="Times New Roman"/>
                      <w:bCs/>
                      <w:szCs w:val="21"/>
                      <w:highlight w:val="none"/>
                    </w:rPr>
                    <w:t>处，往吸入口方向的控制风速不小于0.5m/s，且吸风罩离污染源远端的距离不大于0.6m。</w:t>
                  </w:r>
                </w:p>
              </w:tc>
            </w:tr>
          </w:tbl>
          <w:p w14:paraId="03088889">
            <w:pPr>
              <w:pStyle w:val="12"/>
              <w:pBdr>
                <w:bottom w:val="none" w:color="auto" w:sz="0" w:space="0"/>
              </w:pBdr>
              <w:spacing w:line="360" w:lineRule="auto"/>
              <w:ind w:firstLine="480" w:firstLineChars="200"/>
              <w:jc w:val="both"/>
              <w:rPr>
                <w:rFonts w:hint="eastAsia" w:ascii="Times New Roman" w:hAnsi="Times New Roman" w:eastAsia="宋体" w:cs="Times New Roman"/>
                <w:color w:val="FF0000"/>
                <w:sz w:val="24"/>
                <w:szCs w:val="24"/>
                <w:highlight w:val="none"/>
                <w:lang w:val="en-US" w:eastAsia="zh-CN"/>
              </w:rPr>
            </w:pPr>
            <w:r>
              <w:rPr>
                <w:rFonts w:hint="default" w:ascii="Times New Roman" w:hAnsi="Times New Roman" w:cs="Times New Roman"/>
                <w:bCs/>
                <w:color w:val="auto"/>
                <w:sz w:val="24"/>
                <w:highlight w:val="none"/>
              </w:rPr>
              <w:t>根据《挥发性有机物无组织排放控制标准编制说明》，VOC</w:t>
            </w:r>
            <w:r>
              <w:rPr>
                <w:rFonts w:hint="default" w:ascii="Times New Roman" w:hAnsi="Times New Roman" w:cs="Times New Roman"/>
                <w:bCs/>
                <w:color w:val="auto"/>
                <w:sz w:val="24"/>
                <w:highlight w:val="none"/>
                <w:vertAlign w:val="subscript"/>
              </w:rPr>
              <w:t>S</w:t>
            </w:r>
            <w:r>
              <w:rPr>
                <w:rFonts w:hint="default" w:ascii="Times New Roman" w:hAnsi="Times New Roman" w:cs="Times New Roman"/>
                <w:bCs/>
                <w:color w:val="auto"/>
                <w:sz w:val="24"/>
                <w:highlight w:val="none"/>
              </w:rPr>
              <w:t>控制技术的去除效率与进气浓度相关，有机污染物进气浓度在200ppm</w:t>
            </w:r>
            <w:r>
              <w:rPr>
                <w:rFonts w:hint="eastAsia" w:ascii="Times New Roman" w:hAnsi="Times New Roman" w:eastAsia="宋体" w:cs="Times New Roman"/>
                <w:bCs/>
                <w:color w:val="auto"/>
                <w:sz w:val="24"/>
                <w:highlight w:val="none"/>
                <w:lang w:eastAsia="zh-CN"/>
              </w:rPr>
              <w:t>（</w:t>
            </w:r>
            <w:r>
              <w:rPr>
                <w:rFonts w:hint="default" w:ascii="Times New Roman" w:hAnsi="Times New Roman" w:cs="Times New Roman"/>
                <w:bCs/>
                <w:color w:val="auto"/>
                <w:sz w:val="24"/>
                <w:highlight w:val="none"/>
              </w:rPr>
              <w:t>263.31mg/m</w:t>
            </w:r>
            <w:r>
              <w:rPr>
                <w:rFonts w:hint="default" w:ascii="Times New Roman" w:hAnsi="Times New Roman" w:cs="Times New Roman"/>
                <w:bCs/>
                <w:color w:val="auto"/>
                <w:sz w:val="24"/>
                <w:highlight w:val="none"/>
                <w:vertAlign w:val="superscript"/>
              </w:rPr>
              <w:t>3</w:t>
            </w:r>
            <w:r>
              <w:rPr>
                <w:rFonts w:hint="eastAsia" w:ascii="Times New Roman" w:hAnsi="Times New Roman" w:eastAsia="宋体" w:cs="Times New Roman"/>
                <w:bCs/>
                <w:color w:val="auto"/>
                <w:sz w:val="24"/>
                <w:highlight w:val="none"/>
                <w:lang w:eastAsia="zh-CN"/>
              </w:rPr>
              <w:t>）</w:t>
            </w:r>
            <w:r>
              <w:rPr>
                <w:rFonts w:hint="default" w:ascii="Times New Roman" w:hAnsi="Times New Roman" w:cs="Times New Roman"/>
                <w:bCs/>
                <w:color w:val="auto"/>
                <w:sz w:val="24"/>
                <w:highlight w:val="none"/>
              </w:rPr>
              <w:t>以下时，项目废气拟采用</w:t>
            </w:r>
            <w:r>
              <w:rPr>
                <w:rFonts w:hint="eastAsia" w:ascii="Times New Roman" w:hAnsi="Times New Roman" w:eastAsia="宋体" w:cs="Times New Roman"/>
                <w:bCs/>
                <w:color w:val="auto"/>
                <w:sz w:val="24"/>
                <w:highlight w:val="none"/>
                <w:lang w:val="en-US" w:eastAsia="zh-CN"/>
              </w:rPr>
              <w:t>双级</w:t>
            </w:r>
            <w:r>
              <w:rPr>
                <w:rFonts w:hint="eastAsia" w:ascii="Times New Roman" w:hAnsi="Times New Roman" w:eastAsia="宋体" w:cs="Times New Roman"/>
                <w:bCs/>
                <w:color w:val="auto"/>
                <w:sz w:val="24"/>
                <w:highlight w:val="none"/>
                <w:lang w:eastAsia="zh-CN"/>
              </w:rPr>
              <w:t>二级活性炭吸附装置</w:t>
            </w:r>
            <w:r>
              <w:rPr>
                <w:rFonts w:hint="eastAsia" w:ascii="Times New Roman" w:hAnsi="Times New Roman" w:eastAsia="宋体" w:cs="Times New Roman"/>
                <w:bCs/>
                <w:color w:val="auto"/>
                <w:sz w:val="24"/>
                <w:highlight w:val="none"/>
                <w:lang w:val="en-US" w:eastAsia="zh-CN"/>
              </w:rPr>
              <w:t>处理</w:t>
            </w:r>
            <w:r>
              <w:rPr>
                <w:rFonts w:hint="default" w:ascii="Times New Roman" w:hAnsi="Times New Roman" w:cs="Times New Roman"/>
                <w:bCs/>
                <w:color w:val="auto"/>
                <w:sz w:val="24"/>
                <w:highlight w:val="none"/>
              </w:rPr>
              <w:t>。活性炭处理效率参照《深圳市工业有机废气治理用活性炭更换技术指引（试行）》（深环办〔2023〕66 号）附录A 的工业有机废气治理用活性炭技术指标及试验方法，本项目拟设的二级活性炭装置采用比表面积大于850m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/g、碘吸附值大于850mg/g 的颗粒活性炭，其单级吸附效率为60%，则二级活性炭的吸附效率为84%，本项目按照保守估计按照</w:t>
            </w:r>
            <w:r>
              <w:rPr>
                <w:rFonts w:hint="eastAsia" w:ascii="Times New Roman" w:hAnsi="Times New Roman" w:eastAsia="宋体" w:cs="Times New Roman"/>
                <w:bCs/>
                <w:color w:val="auto"/>
                <w:sz w:val="24"/>
                <w:highlight w:val="none"/>
                <w:lang w:val="en-US" w:eastAsia="zh-CN"/>
              </w:rPr>
              <w:t>75</w:t>
            </w:r>
            <w:r>
              <w:rPr>
                <w:rFonts w:hint="default" w:ascii="Times New Roman" w:hAnsi="Times New Roman" w:cs="Times New Roman"/>
                <w:bCs/>
                <w:color w:val="auto"/>
                <w:sz w:val="24"/>
                <w:highlight w:val="none"/>
              </w:rPr>
              <w:t>%计</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cs="Times New Roman"/>
                <w:bCs/>
                <w:color w:val="auto"/>
                <w:sz w:val="24"/>
                <w:highlight w:val="none"/>
              </w:rPr>
              <w:t>设备的运行时间为</w:t>
            </w:r>
            <w:r>
              <w:rPr>
                <w:rFonts w:hint="eastAsia" w:ascii="Times New Roman" w:hAnsi="Times New Roman" w:eastAsia="宋体" w:cs="Times New Roman"/>
                <w:bCs/>
                <w:color w:val="auto"/>
                <w:sz w:val="24"/>
                <w:highlight w:val="none"/>
                <w:lang w:eastAsia="zh-CN"/>
              </w:rPr>
              <w:t>7488</w:t>
            </w:r>
            <w:r>
              <w:rPr>
                <w:rFonts w:hint="default" w:ascii="Times New Roman" w:hAnsi="Times New Roman" w:cs="Times New Roman"/>
                <w:bCs/>
                <w:color w:val="auto"/>
                <w:sz w:val="24"/>
                <w:highlight w:val="none"/>
              </w:rPr>
              <w:t>小时</w:t>
            </w:r>
            <w:r>
              <w:rPr>
                <w:rFonts w:hint="eastAsia" w:ascii="Times New Roman" w:hAnsi="Times New Roman" w:eastAsia="宋体" w:cs="Times New Roman"/>
                <w:bCs/>
                <w:color w:val="auto"/>
                <w:sz w:val="24"/>
                <w:highlight w:val="none"/>
                <w:lang w:eastAsia="zh-CN"/>
              </w:rPr>
              <w:t>（全</w:t>
            </w:r>
            <w:r>
              <w:rPr>
                <w:rFonts w:hint="default" w:ascii="Times New Roman" w:hAnsi="Times New Roman" w:cs="Times New Roman"/>
                <w:bCs/>
                <w:color w:val="auto"/>
                <w:sz w:val="24"/>
                <w:highlight w:val="none"/>
              </w:rPr>
              <w:t>年工作日合计共312天，每天8小时），设计风机风量为10000m</w:t>
            </w:r>
            <w:r>
              <w:rPr>
                <w:rFonts w:hint="eastAsia" w:ascii="Times New Roman" w:hAnsi="Times New Roman" w:eastAsia="宋体"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rPr>
              <w:t>/h（</w:t>
            </w:r>
            <w:r>
              <w:rPr>
                <w:rFonts w:hint="eastAsia" w:ascii="Times New Roman" w:hAnsi="Times New Roman" w:eastAsia="宋体" w:cs="Times New Roman"/>
                <w:bCs/>
                <w:color w:val="auto"/>
                <w:sz w:val="24"/>
                <w:highlight w:val="none"/>
                <w:lang w:eastAsia="zh-CN"/>
              </w:rPr>
              <w:t>7488</w:t>
            </w:r>
            <w:r>
              <w:rPr>
                <w:rFonts w:hint="default" w:ascii="Times New Roman" w:hAnsi="Times New Roman" w:cs="Times New Roman"/>
                <w:bCs/>
                <w:color w:val="auto"/>
                <w:sz w:val="24"/>
                <w:highlight w:val="none"/>
              </w:rPr>
              <w:t>万m</w:t>
            </w:r>
            <w:r>
              <w:rPr>
                <w:rFonts w:hint="eastAsia" w:ascii="Times New Roman" w:hAnsi="Times New Roman" w:eastAsia="宋体" w:cs="Times New Roman"/>
                <w:bCs/>
                <w:color w:val="auto"/>
                <w:sz w:val="24"/>
                <w:highlight w:val="none"/>
                <w:vertAlign w:val="superscript"/>
                <w:lang w:val="en-US" w:eastAsia="zh-CN"/>
              </w:rPr>
              <w:t>3</w:t>
            </w:r>
            <w:r>
              <w:rPr>
                <w:rFonts w:hint="default" w:ascii="Times New Roman" w:hAnsi="Times New Roman" w:cs="Times New Roman"/>
                <w:bCs/>
                <w:color w:val="auto"/>
                <w:sz w:val="24"/>
                <w:highlight w:val="none"/>
              </w:rPr>
              <w:t>/a）。</w:t>
            </w:r>
          </w:p>
        </w:tc>
      </w:tr>
    </w:tbl>
    <w:p w14:paraId="269F7AB2">
      <w:pPr>
        <w:rPr>
          <w:highlight w:val="none"/>
        </w:rPr>
      </w:pPr>
      <w:r>
        <w:rPr>
          <w:highlight w:val="none"/>
        </w:rPr>
        <w:br w:type="page"/>
      </w:r>
    </w:p>
    <w:p w14:paraId="0FD88491">
      <w:pPr>
        <w:rPr>
          <w:highlight w:val="none"/>
        </w:rPr>
        <w:sectPr>
          <w:footerReference r:id="rId7" w:type="default"/>
          <w:pgSz w:w="11907" w:h="16840"/>
          <w:pgMar w:top="1431" w:right="1449" w:bottom="959" w:left="1448" w:header="0" w:footer="692" w:gutter="0"/>
          <w:pgBorders>
            <w:top w:val="none" w:sz="0" w:space="0"/>
            <w:left w:val="none" w:sz="0" w:space="0"/>
            <w:bottom w:val="none" w:sz="0" w:space="0"/>
            <w:right w:val="none" w:sz="0" w:space="0"/>
          </w:pgBorders>
          <w:pgNumType w:fmt="decimal"/>
          <w:cols w:space="720" w:num="1"/>
        </w:sectPr>
      </w:pPr>
    </w:p>
    <w:p w14:paraId="64578ECD">
      <w:pPr>
        <w:pStyle w:val="43"/>
        <w:spacing w:before="0" w:beforeLines="0" w:line="340" w:lineRule="exact"/>
        <w:ind w:leftChars="0"/>
        <w:jc w:val="center"/>
        <w:rPr>
          <w:color w:val="auto"/>
          <w:szCs w:val="24"/>
          <w:highlight w:val="none"/>
        </w:rPr>
      </w:pPr>
      <w:r>
        <w:rPr>
          <w:rFonts w:hint="eastAsia" w:ascii="Times New Roman" w:hAnsi="Times New Roman" w:eastAsia="宋体" w:cs="Times New Roman"/>
          <w:b/>
          <w:bCs/>
          <w:color w:val="auto"/>
          <w:kern w:val="2"/>
          <w:sz w:val="24"/>
          <w:szCs w:val="24"/>
          <w:highlight w:val="none"/>
        </w:rPr>
        <w:t>表4</w:t>
      </w:r>
      <w:r>
        <w:rPr>
          <w:rFonts w:hint="eastAsia" w:ascii="Times New Roman" w:hAnsi="Times New Roman" w:eastAsia="宋体" w:cs="Times New Roman"/>
          <w:b/>
          <w:bCs/>
          <w:color w:val="auto"/>
          <w:kern w:val="2"/>
          <w:sz w:val="24"/>
          <w:szCs w:val="24"/>
          <w:highlight w:val="none"/>
          <w:lang w:val="en-US" w:eastAsia="zh-CN"/>
        </w:rPr>
        <w:t>.2</w:t>
      </w:r>
      <w:r>
        <w:rPr>
          <w:rFonts w:hint="eastAsia" w:ascii="Times New Roman" w:hAnsi="Times New Roman" w:eastAsia="宋体" w:cs="Times New Roman"/>
          <w:b/>
          <w:bCs/>
          <w:color w:val="auto"/>
          <w:kern w:val="2"/>
          <w:sz w:val="24"/>
          <w:szCs w:val="24"/>
          <w:highlight w:val="none"/>
        </w:rPr>
        <w:t>-</w:t>
      </w:r>
      <w:r>
        <w:rPr>
          <w:rFonts w:hint="eastAsia" w:ascii="Times New Roman" w:hAnsi="Times New Roman" w:eastAsia="宋体" w:cs="Times New Roman"/>
          <w:b/>
          <w:bCs/>
          <w:color w:val="auto"/>
          <w:kern w:val="2"/>
          <w:sz w:val="24"/>
          <w:szCs w:val="24"/>
          <w:highlight w:val="none"/>
          <w:lang w:val="en-US" w:eastAsia="zh-CN"/>
        </w:rPr>
        <w:t>6</w:t>
      </w:r>
      <w:r>
        <w:rPr>
          <w:rFonts w:hint="eastAsia" w:ascii="Times New Roman" w:hAnsi="Times New Roman" w:eastAsia="宋体" w:cs="Times New Roman"/>
          <w:b/>
          <w:bCs/>
          <w:color w:val="auto"/>
          <w:kern w:val="2"/>
          <w:sz w:val="24"/>
          <w:szCs w:val="24"/>
          <w:highlight w:val="none"/>
        </w:rPr>
        <w:t xml:space="preserve"> 项目正常工况下废气污染源源强核算结果及相关参数一览表</w:t>
      </w:r>
    </w:p>
    <w:tbl>
      <w:tblPr>
        <w:tblStyle w:val="17"/>
        <w:tblW w:w="4919" w:type="pct"/>
        <w:tblInd w:w="122" w:type="dxa"/>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108" w:type="dxa"/>
          <w:bottom w:w="0" w:type="dxa"/>
          <w:right w:w="108" w:type="dxa"/>
        </w:tblCellMar>
      </w:tblPr>
      <w:tblGrid>
        <w:gridCol w:w="390"/>
        <w:gridCol w:w="345"/>
        <w:gridCol w:w="424"/>
        <w:gridCol w:w="600"/>
        <w:gridCol w:w="720"/>
        <w:gridCol w:w="731"/>
        <w:gridCol w:w="812"/>
        <w:gridCol w:w="748"/>
        <w:gridCol w:w="381"/>
        <w:gridCol w:w="778"/>
        <w:gridCol w:w="607"/>
        <w:gridCol w:w="589"/>
        <w:gridCol w:w="558"/>
        <w:gridCol w:w="592"/>
        <w:gridCol w:w="778"/>
        <w:gridCol w:w="783"/>
        <w:gridCol w:w="638"/>
        <w:gridCol w:w="825"/>
        <w:gridCol w:w="870"/>
        <w:gridCol w:w="818"/>
        <w:gridCol w:w="415"/>
        <w:gridCol w:w="621"/>
        <w:gridCol w:w="407"/>
      </w:tblGrid>
      <w:tr w14:paraId="1EAD95B1">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97" w:hRule="atLeast"/>
        </w:trPr>
        <w:tc>
          <w:tcPr>
            <w:tcW w:w="135" w:type="pct"/>
            <w:vMerge w:val="restart"/>
            <w:tcBorders>
              <w:tl2br w:val="nil"/>
              <w:tr2bl w:val="nil"/>
            </w:tcBorders>
            <w:noWrap w:val="0"/>
            <w:vAlign w:val="center"/>
          </w:tcPr>
          <w:p w14:paraId="1797849B">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产排</w:t>
            </w:r>
          </w:p>
          <w:p w14:paraId="1728937D">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污</w:t>
            </w:r>
            <w:r>
              <w:rPr>
                <w:rFonts w:hint="eastAsia" w:ascii="Times New Roman" w:hAnsi="Times New Roman" w:eastAsia="宋体" w:cs="Times New Roman"/>
                <w:color w:val="auto"/>
                <w:kern w:val="0"/>
                <w:sz w:val="20"/>
                <w:szCs w:val="20"/>
                <w:highlight w:val="none"/>
                <w:lang w:val="en-US" w:eastAsia="zh-CN" w:bidi="ar"/>
              </w:rPr>
              <w:t>环</w:t>
            </w:r>
            <w:r>
              <w:rPr>
                <w:rFonts w:hint="default" w:ascii="Times New Roman" w:hAnsi="Times New Roman" w:cs="Times New Roman"/>
                <w:color w:val="auto"/>
                <w:kern w:val="0"/>
                <w:sz w:val="20"/>
                <w:szCs w:val="20"/>
                <w:highlight w:val="none"/>
                <w:lang w:bidi="ar"/>
              </w:rPr>
              <w:t>节</w:t>
            </w:r>
          </w:p>
        </w:tc>
        <w:tc>
          <w:tcPr>
            <w:tcW w:w="119" w:type="pct"/>
            <w:vMerge w:val="restart"/>
            <w:tcBorders>
              <w:tl2br w:val="nil"/>
              <w:tr2bl w:val="nil"/>
            </w:tcBorders>
            <w:noWrap w:val="0"/>
            <w:vAlign w:val="center"/>
          </w:tcPr>
          <w:p w14:paraId="2643D505">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污染源</w:t>
            </w:r>
          </w:p>
        </w:tc>
        <w:tc>
          <w:tcPr>
            <w:tcW w:w="146" w:type="pct"/>
            <w:vMerge w:val="restart"/>
            <w:tcBorders>
              <w:tl2br w:val="nil"/>
              <w:tr2bl w:val="nil"/>
            </w:tcBorders>
            <w:noWrap w:val="0"/>
            <w:vAlign w:val="center"/>
          </w:tcPr>
          <w:p w14:paraId="702359FE">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污染物</w:t>
            </w:r>
          </w:p>
          <w:p w14:paraId="3830B64D">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种类</w:t>
            </w:r>
          </w:p>
        </w:tc>
        <w:tc>
          <w:tcPr>
            <w:tcW w:w="1251" w:type="pct"/>
            <w:gridSpan w:val="5"/>
            <w:tcBorders>
              <w:tl2br w:val="nil"/>
              <w:tr2bl w:val="nil"/>
            </w:tcBorders>
            <w:noWrap w:val="0"/>
            <w:vAlign w:val="center"/>
          </w:tcPr>
          <w:p w14:paraId="21D4DA61">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污染源产生</w:t>
            </w:r>
          </w:p>
        </w:tc>
        <w:tc>
          <w:tcPr>
            <w:tcW w:w="132" w:type="pct"/>
            <w:vMerge w:val="restart"/>
            <w:tcBorders>
              <w:tl2br w:val="nil"/>
              <w:tr2bl w:val="nil"/>
            </w:tcBorders>
            <w:noWrap w:val="0"/>
            <w:vAlign w:val="center"/>
          </w:tcPr>
          <w:p w14:paraId="48311E1E">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排放</w:t>
            </w:r>
          </w:p>
          <w:p w14:paraId="2E2E54FE">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方式</w:t>
            </w:r>
          </w:p>
        </w:tc>
        <w:tc>
          <w:tcPr>
            <w:tcW w:w="877" w:type="pct"/>
            <w:gridSpan w:val="4"/>
            <w:tcBorders>
              <w:tl2br w:val="nil"/>
              <w:tr2bl w:val="nil"/>
            </w:tcBorders>
            <w:noWrap w:val="0"/>
            <w:vAlign w:val="center"/>
          </w:tcPr>
          <w:p w14:paraId="1155EEE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治理措施</w:t>
            </w:r>
          </w:p>
        </w:tc>
        <w:tc>
          <w:tcPr>
            <w:tcW w:w="967" w:type="pct"/>
            <w:gridSpan w:val="4"/>
            <w:tcBorders>
              <w:tl2br w:val="nil"/>
              <w:tr2bl w:val="nil"/>
            </w:tcBorders>
            <w:noWrap w:val="0"/>
            <w:vAlign w:val="center"/>
          </w:tcPr>
          <w:p w14:paraId="05F39149">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污染物排放</w:t>
            </w:r>
          </w:p>
        </w:tc>
        <w:tc>
          <w:tcPr>
            <w:tcW w:w="870" w:type="pct"/>
            <w:gridSpan w:val="3"/>
            <w:tcBorders>
              <w:tl2br w:val="nil"/>
              <w:tr2bl w:val="nil"/>
            </w:tcBorders>
            <w:noWrap w:val="0"/>
            <w:vAlign w:val="center"/>
          </w:tcPr>
          <w:p w14:paraId="695477B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排放口基本信息</w:t>
            </w:r>
          </w:p>
        </w:tc>
        <w:tc>
          <w:tcPr>
            <w:tcW w:w="143" w:type="pct"/>
            <w:vMerge w:val="restart"/>
            <w:tcBorders>
              <w:tl2br w:val="nil"/>
              <w:tr2bl w:val="nil"/>
            </w:tcBorders>
            <w:noWrap w:val="0"/>
            <w:vAlign w:val="center"/>
          </w:tcPr>
          <w:p w14:paraId="2E2E409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排放</w:t>
            </w:r>
          </w:p>
          <w:p w14:paraId="007CE7AB">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时间</w:t>
            </w:r>
          </w:p>
          <w:p w14:paraId="33735D1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h</w:t>
            </w:r>
          </w:p>
        </w:tc>
        <w:tc>
          <w:tcPr>
            <w:tcW w:w="356" w:type="pct"/>
            <w:gridSpan w:val="2"/>
            <w:tcBorders>
              <w:tl2br w:val="nil"/>
              <w:tr2bl w:val="nil"/>
            </w:tcBorders>
            <w:noWrap w:val="0"/>
            <w:vAlign w:val="center"/>
          </w:tcPr>
          <w:p w14:paraId="76293691">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b w:val="0"/>
                <w:bCs w:val="0"/>
                <w:color w:val="auto"/>
                <w:kern w:val="0"/>
                <w:sz w:val="20"/>
                <w:szCs w:val="20"/>
                <w:highlight w:val="none"/>
                <w:lang w:bidi="ar"/>
              </w:rPr>
            </w:pPr>
            <w:r>
              <w:rPr>
                <w:rFonts w:hint="default" w:ascii="Times New Roman" w:hAnsi="Times New Roman" w:eastAsia="宋体" w:cs="Times New Roman"/>
                <w:b w:val="0"/>
                <w:bCs w:val="0"/>
                <w:color w:val="auto"/>
                <w:kern w:val="0"/>
                <w:sz w:val="20"/>
                <w:szCs w:val="20"/>
                <w:highlight w:val="none"/>
                <w:lang w:bidi="ar"/>
              </w:rPr>
              <w:t>排放标准</w:t>
            </w:r>
          </w:p>
        </w:tc>
      </w:tr>
      <w:tr w14:paraId="1229155C">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97" w:hRule="atLeast"/>
        </w:trPr>
        <w:tc>
          <w:tcPr>
            <w:tcW w:w="135" w:type="pct"/>
            <w:vMerge w:val="continue"/>
            <w:tcBorders>
              <w:tl2br w:val="nil"/>
              <w:tr2bl w:val="nil"/>
            </w:tcBorders>
            <w:noWrap/>
            <w:vAlign w:val="center"/>
          </w:tcPr>
          <w:p w14:paraId="0A9970AD">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p>
        </w:tc>
        <w:tc>
          <w:tcPr>
            <w:tcW w:w="119" w:type="pct"/>
            <w:vMerge w:val="continue"/>
            <w:tcBorders>
              <w:tl2br w:val="nil"/>
              <w:tr2bl w:val="nil"/>
            </w:tcBorders>
            <w:noWrap w:val="0"/>
            <w:vAlign w:val="center"/>
          </w:tcPr>
          <w:p w14:paraId="57B82F52">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p>
        </w:tc>
        <w:tc>
          <w:tcPr>
            <w:tcW w:w="146" w:type="pct"/>
            <w:vMerge w:val="continue"/>
            <w:tcBorders>
              <w:tl2br w:val="nil"/>
              <w:tr2bl w:val="nil"/>
            </w:tcBorders>
            <w:noWrap/>
            <w:vAlign w:val="center"/>
          </w:tcPr>
          <w:p w14:paraId="538B9752">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p>
        </w:tc>
        <w:tc>
          <w:tcPr>
            <w:tcW w:w="207" w:type="pct"/>
            <w:tcBorders>
              <w:tl2br w:val="nil"/>
              <w:tr2bl w:val="nil"/>
            </w:tcBorders>
            <w:noWrap w:val="0"/>
            <w:vAlign w:val="center"/>
          </w:tcPr>
          <w:p w14:paraId="03ADD05E">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核算</w:t>
            </w:r>
          </w:p>
          <w:p w14:paraId="259F01E2">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方法</w:t>
            </w:r>
          </w:p>
        </w:tc>
        <w:tc>
          <w:tcPr>
            <w:tcW w:w="249" w:type="pct"/>
            <w:tcBorders>
              <w:tl2br w:val="nil"/>
              <w:tr2bl w:val="nil"/>
            </w:tcBorders>
            <w:noWrap w:val="0"/>
            <w:vAlign w:val="center"/>
          </w:tcPr>
          <w:p w14:paraId="1EC6C054">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废气量</w:t>
            </w:r>
          </w:p>
          <w:p w14:paraId="4ABB6C56">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kern w:val="0"/>
                <w:sz w:val="20"/>
                <w:szCs w:val="20"/>
                <w:highlight w:val="none"/>
                <w:lang w:eastAsia="zh-CN" w:bidi="ar"/>
              </w:rPr>
              <w:t>(</w:t>
            </w:r>
            <w:r>
              <w:rPr>
                <w:rFonts w:hint="default" w:ascii="Times New Roman" w:hAnsi="Times New Roman" w:cs="Times New Roman"/>
                <w:color w:val="auto"/>
                <w:kern w:val="0"/>
                <w:sz w:val="20"/>
                <w:szCs w:val="20"/>
                <w:highlight w:val="none"/>
                <w:lang w:bidi="ar"/>
              </w:rPr>
              <w:t>m</w:t>
            </w:r>
            <w:r>
              <w:rPr>
                <w:rStyle w:val="45"/>
                <w:rFonts w:hint="default" w:ascii="Times New Roman" w:hAnsi="Times New Roman" w:cs="Times New Roman"/>
                <w:color w:val="auto"/>
                <w:sz w:val="20"/>
                <w:szCs w:val="20"/>
                <w:highlight w:val="none"/>
                <w:vertAlign w:val="superscript"/>
                <w:lang w:bidi="ar"/>
              </w:rPr>
              <w:t>3</w:t>
            </w:r>
            <w:r>
              <w:rPr>
                <w:rStyle w:val="46"/>
                <w:rFonts w:hint="default" w:ascii="Times New Roman" w:hAnsi="Times New Roman" w:cs="Times New Roman"/>
                <w:color w:val="auto"/>
                <w:sz w:val="20"/>
                <w:szCs w:val="20"/>
                <w:highlight w:val="none"/>
                <w:lang w:bidi="ar"/>
              </w:rPr>
              <w:t>/</w:t>
            </w:r>
            <w:r>
              <w:rPr>
                <w:rStyle w:val="46"/>
                <w:rFonts w:hint="default" w:ascii="Times New Roman" w:hAnsi="Times New Roman" w:cs="Times New Roman"/>
                <w:b w:val="0"/>
                <w:bCs/>
                <w:color w:val="auto"/>
                <w:sz w:val="20"/>
                <w:szCs w:val="20"/>
                <w:highlight w:val="none"/>
                <w:lang w:bidi="ar"/>
              </w:rPr>
              <w:t>h</w:t>
            </w:r>
            <w:r>
              <w:rPr>
                <w:rStyle w:val="46"/>
                <w:rFonts w:hint="eastAsia" w:ascii="Times New Roman" w:hAnsi="Times New Roman" w:eastAsia="宋体" w:cs="Times New Roman"/>
                <w:b w:val="0"/>
                <w:bCs/>
                <w:color w:val="auto"/>
                <w:sz w:val="20"/>
                <w:szCs w:val="20"/>
                <w:highlight w:val="none"/>
                <w:lang w:eastAsia="zh-CN" w:bidi="ar"/>
              </w:rPr>
              <w:t>)</w:t>
            </w:r>
          </w:p>
        </w:tc>
        <w:tc>
          <w:tcPr>
            <w:tcW w:w="253" w:type="pct"/>
            <w:tcBorders>
              <w:tl2br w:val="nil"/>
              <w:tr2bl w:val="nil"/>
            </w:tcBorders>
            <w:noWrap w:val="0"/>
            <w:vAlign w:val="center"/>
          </w:tcPr>
          <w:p w14:paraId="09A6461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产生量</w:t>
            </w:r>
          </w:p>
          <w:p w14:paraId="0B02D8E7">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Style w:val="46"/>
                <w:rFonts w:hint="eastAsia" w:ascii="Times New Roman" w:hAnsi="Times New Roman" w:eastAsia="宋体" w:cs="Times New Roman"/>
                <w:b w:val="0"/>
                <w:bCs/>
                <w:color w:val="auto"/>
                <w:sz w:val="20"/>
                <w:szCs w:val="20"/>
                <w:highlight w:val="none"/>
                <w:lang w:eastAsia="zh-CN" w:bidi="ar"/>
              </w:rPr>
              <w:t>(</w:t>
            </w:r>
            <w:r>
              <w:rPr>
                <w:rStyle w:val="46"/>
                <w:rFonts w:hint="default" w:ascii="Times New Roman" w:hAnsi="Times New Roman" w:cs="Times New Roman"/>
                <w:b w:val="0"/>
                <w:bCs/>
                <w:color w:val="auto"/>
                <w:sz w:val="20"/>
                <w:szCs w:val="20"/>
                <w:highlight w:val="none"/>
                <w:lang w:bidi="ar"/>
              </w:rPr>
              <w:t>t/a</w:t>
            </w:r>
            <w:r>
              <w:rPr>
                <w:rStyle w:val="46"/>
                <w:rFonts w:hint="eastAsia" w:ascii="Times New Roman" w:hAnsi="Times New Roman" w:eastAsia="宋体" w:cs="Times New Roman"/>
                <w:b w:val="0"/>
                <w:bCs/>
                <w:color w:val="auto"/>
                <w:sz w:val="20"/>
                <w:szCs w:val="20"/>
                <w:highlight w:val="none"/>
                <w:lang w:eastAsia="zh-CN" w:bidi="ar"/>
              </w:rPr>
              <w:t>)</w:t>
            </w:r>
          </w:p>
        </w:tc>
        <w:tc>
          <w:tcPr>
            <w:tcW w:w="281" w:type="pct"/>
            <w:tcBorders>
              <w:tl2br w:val="nil"/>
              <w:tr2bl w:val="nil"/>
            </w:tcBorders>
            <w:noWrap w:val="0"/>
            <w:vAlign w:val="center"/>
          </w:tcPr>
          <w:p w14:paraId="1CAD99C0">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产生</w:t>
            </w:r>
          </w:p>
          <w:p w14:paraId="54FC1CE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速率</w:t>
            </w:r>
          </w:p>
          <w:p w14:paraId="7581B20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kern w:val="0"/>
                <w:sz w:val="20"/>
                <w:szCs w:val="20"/>
                <w:highlight w:val="none"/>
                <w:lang w:eastAsia="zh-CN" w:bidi="ar"/>
              </w:rPr>
              <w:t>(</w:t>
            </w:r>
            <w:r>
              <w:rPr>
                <w:rFonts w:hint="default" w:ascii="Times New Roman" w:hAnsi="Times New Roman" w:cs="Times New Roman"/>
                <w:color w:val="auto"/>
                <w:kern w:val="0"/>
                <w:sz w:val="20"/>
                <w:szCs w:val="20"/>
                <w:highlight w:val="none"/>
                <w:lang w:bidi="ar"/>
              </w:rPr>
              <w:t>kg/h</w:t>
            </w:r>
            <w:r>
              <w:rPr>
                <w:rFonts w:hint="eastAsia" w:ascii="Times New Roman" w:hAnsi="Times New Roman" w:eastAsia="宋体" w:cs="Times New Roman"/>
                <w:color w:val="auto"/>
                <w:kern w:val="0"/>
                <w:sz w:val="20"/>
                <w:szCs w:val="20"/>
                <w:highlight w:val="none"/>
                <w:lang w:eastAsia="zh-CN" w:bidi="ar"/>
              </w:rPr>
              <w:t>)</w:t>
            </w:r>
          </w:p>
        </w:tc>
        <w:tc>
          <w:tcPr>
            <w:tcW w:w="259" w:type="pct"/>
            <w:tcBorders>
              <w:tl2br w:val="nil"/>
              <w:tr2bl w:val="nil"/>
            </w:tcBorders>
            <w:noWrap w:val="0"/>
            <w:vAlign w:val="center"/>
          </w:tcPr>
          <w:p w14:paraId="7FC25834">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产生</w:t>
            </w:r>
          </w:p>
          <w:p w14:paraId="464DB084">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浓度</w:t>
            </w:r>
          </w:p>
          <w:p w14:paraId="0A510723">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kern w:val="0"/>
                <w:sz w:val="20"/>
                <w:szCs w:val="20"/>
                <w:highlight w:val="none"/>
                <w:lang w:eastAsia="zh-CN" w:bidi="ar"/>
              </w:rPr>
              <w:t>(</w:t>
            </w:r>
            <w:r>
              <w:rPr>
                <w:rFonts w:hint="default" w:ascii="Times New Roman" w:hAnsi="Times New Roman" w:cs="Times New Roman"/>
                <w:color w:val="auto"/>
                <w:kern w:val="0"/>
                <w:sz w:val="20"/>
                <w:szCs w:val="20"/>
                <w:highlight w:val="none"/>
                <w:lang w:bidi="ar"/>
              </w:rPr>
              <w:t>mg/m</w:t>
            </w:r>
            <w:r>
              <w:rPr>
                <w:rStyle w:val="45"/>
                <w:rFonts w:hint="default" w:ascii="Times New Roman" w:hAnsi="Times New Roman" w:cs="Times New Roman"/>
                <w:color w:val="auto"/>
                <w:sz w:val="20"/>
                <w:szCs w:val="20"/>
                <w:highlight w:val="none"/>
                <w:vertAlign w:val="superscript"/>
                <w:lang w:bidi="ar"/>
              </w:rPr>
              <w:t>3</w:t>
            </w:r>
            <w:r>
              <w:rPr>
                <w:rStyle w:val="45"/>
                <w:rFonts w:hint="eastAsia" w:ascii="Times New Roman" w:hAnsi="Times New Roman" w:eastAsia="宋体" w:cs="Times New Roman"/>
                <w:color w:val="auto"/>
                <w:sz w:val="20"/>
                <w:szCs w:val="20"/>
                <w:highlight w:val="none"/>
                <w:vertAlign w:val="superscript"/>
                <w:lang w:eastAsia="zh-CN" w:bidi="ar"/>
              </w:rPr>
              <w:t>)</w:t>
            </w:r>
          </w:p>
        </w:tc>
        <w:tc>
          <w:tcPr>
            <w:tcW w:w="132" w:type="pct"/>
            <w:vMerge w:val="continue"/>
            <w:tcBorders>
              <w:tl2br w:val="nil"/>
              <w:tr2bl w:val="nil"/>
            </w:tcBorders>
            <w:noWrap/>
            <w:vAlign w:val="center"/>
          </w:tcPr>
          <w:p w14:paraId="14480051">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p>
        </w:tc>
        <w:tc>
          <w:tcPr>
            <w:tcW w:w="269" w:type="pct"/>
            <w:tcBorders>
              <w:tl2br w:val="nil"/>
              <w:tr2bl w:val="nil"/>
            </w:tcBorders>
            <w:noWrap w:val="0"/>
            <w:vAlign w:val="center"/>
          </w:tcPr>
          <w:p w14:paraId="00B59195">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处理能力及工艺</w:t>
            </w:r>
          </w:p>
        </w:tc>
        <w:tc>
          <w:tcPr>
            <w:tcW w:w="210" w:type="pct"/>
            <w:tcBorders>
              <w:tl2br w:val="nil"/>
              <w:tr2bl w:val="nil"/>
            </w:tcBorders>
            <w:noWrap w:val="0"/>
            <w:vAlign w:val="center"/>
          </w:tcPr>
          <w:p w14:paraId="4CC8D30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收集效率</w:t>
            </w:r>
          </w:p>
        </w:tc>
        <w:tc>
          <w:tcPr>
            <w:tcW w:w="204" w:type="pct"/>
            <w:tcBorders>
              <w:tl2br w:val="nil"/>
              <w:tr2bl w:val="nil"/>
            </w:tcBorders>
            <w:noWrap w:val="0"/>
            <w:vAlign w:val="center"/>
          </w:tcPr>
          <w:p w14:paraId="3BEC566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工艺去除率</w:t>
            </w:r>
          </w:p>
        </w:tc>
        <w:tc>
          <w:tcPr>
            <w:tcW w:w="193" w:type="pct"/>
            <w:tcBorders>
              <w:tl2br w:val="nil"/>
              <w:tr2bl w:val="nil"/>
            </w:tcBorders>
            <w:noWrap w:val="0"/>
            <w:vAlign w:val="center"/>
          </w:tcPr>
          <w:p w14:paraId="325042B4">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是否为可行技术</w:t>
            </w:r>
          </w:p>
        </w:tc>
        <w:tc>
          <w:tcPr>
            <w:tcW w:w="205" w:type="pct"/>
            <w:tcBorders>
              <w:tl2br w:val="nil"/>
              <w:tr2bl w:val="nil"/>
            </w:tcBorders>
            <w:noWrap w:val="0"/>
            <w:vAlign w:val="center"/>
          </w:tcPr>
          <w:p w14:paraId="2F8763E7">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cs="Times New Roman"/>
                <w:color w:val="auto"/>
                <w:kern w:val="0"/>
                <w:sz w:val="20"/>
                <w:szCs w:val="20"/>
                <w:highlight w:val="none"/>
                <w:lang w:bidi="ar"/>
              </w:rPr>
              <w:t>废气量</w:t>
            </w:r>
            <w:r>
              <w:rPr>
                <w:rStyle w:val="46"/>
                <w:rFonts w:hint="eastAsia" w:ascii="Times New Roman" w:hAnsi="Times New Roman" w:eastAsia="宋体" w:cs="Times New Roman"/>
                <w:b w:val="0"/>
                <w:bCs/>
                <w:color w:val="auto"/>
                <w:sz w:val="20"/>
                <w:szCs w:val="20"/>
                <w:highlight w:val="none"/>
                <w:lang w:eastAsia="zh-CN" w:bidi="ar"/>
              </w:rPr>
              <w:t>（</w:t>
            </w:r>
            <w:r>
              <w:rPr>
                <w:rStyle w:val="46"/>
                <w:rFonts w:hint="default" w:ascii="Times New Roman" w:hAnsi="Times New Roman" w:cs="Times New Roman"/>
                <w:b w:val="0"/>
                <w:bCs/>
                <w:color w:val="auto"/>
                <w:sz w:val="20"/>
                <w:szCs w:val="20"/>
                <w:highlight w:val="none"/>
                <w:lang w:bidi="ar"/>
              </w:rPr>
              <w:t>m</w:t>
            </w:r>
            <w:r>
              <w:rPr>
                <w:rStyle w:val="45"/>
                <w:rFonts w:hint="default" w:ascii="Times New Roman" w:hAnsi="Times New Roman" w:cs="Times New Roman"/>
                <w:b w:val="0"/>
                <w:bCs/>
                <w:color w:val="auto"/>
                <w:sz w:val="20"/>
                <w:szCs w:val="20"/>
                <w:highlight w:val="none"/>
                <w:vertAlign w:val="superscript"/>
                <w:lang w:bidi="ar"/>
              </w:rPr>
              <w:t>3</w:t>
            </w:r>
            <w:r>
              <w:rPr>
                <w:rStyle w:val="46"/>
                <w:rFonts w:hint="default" w:ascii="Times New Roman" w:hAnsi="Times New Roman" w:cs="Times New Roman"/>
                <w:b w:val="0"/>
                <w:bCs/>
                <w:color w:val="auto"/>
                <w:sz w:val="20"/>
                <w:szCs w:val="20"/>
                <w:highlight w:val="none"/>
                <w:lang w:bidi="ar"/>
              </w:rPr>
              <w:t>/h</w:t>
            </w:r>
            <w:r>
              <w:rPr>
                <w:rStyle w:val="46"/>
                <w:rFonts w:hint="eastAsia" w:ascii="Times New Roman" w:hAnsi="Times New Roman" w:eastAsia="宋体" w:cs="Times New Roman"/>
                <w:b w:val="0"/>
                <w:bCs/>
                <w:color w:val="auto"/>
                <w:sz w:val="20"/>
                <w:szCs w:val="20"/>
                <w:highlight w:val="none"/>
                <w:lang w:eastAsia="zh-CN" w:bidi="ar"/>
              </w:rPr>
              <w:t>）</w:t>
            </w:r>
          </w:p>
        </w:tc>
        <w:tc>
          <w:tcPr>
            <w:tcW w:w="269" w:type="pct"/>
            <w:tcBorders>
              <w:tl2br w:val="nil"/>
              <w:tr2bl w:val="nil"/>
            </w:tcBorders>
            <w:noWrap w:val="0"/>
            <w:vAlign w:val="center"/>
          </w:tcPr>
          <w:p w14:paraId="41F352B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cs="Times New Roman"/>
                <w:color w:val="auto"/>
                <w:kern w:val="0"/>
                <w:sz w:val="20"/>
                <w:szCs w:val="20"/>
                <w:highlight w:val="none"/>
                <w:lang w:bidi="ar"/>
              </w:rPr>
              <w:t>排放量</w:t>
            </w:r>
            <w:r>
              <w:rPr>
                <w:rStyle w:val="46"/>
                <w:rFonts w:hint="eastAsia" w:ascii="Times New Roman" w:hAnsi="Times New Roman" w:eastAsia="宋体" w:cs="Times New Roman"/>
                <w:b w:val="0"/>
                <w:bCs/>
                <w:color w:val="auto"/>
                <w:sz w:val="20"/>
                <w:szCs w:val="20"/>
                <w:highlight w:val="none"/>
                <w:lang w:eastAsia="zh-CN" w:bidi="ar"/>
              </w:rPr>
              <w:t>（</w:t>
            </w:r>
            <w:r>
              <w:rPr>
                <w:rStyle w:val="46"/>
                <w:rFonts w:hint="default" w:ascii="Times New Roman" w:hAnsi="Times New Roman" w:cs="Times New Roman"/>
                <w:b w:val="0"/>
                <w:bCs/>
                <w:color w:val="auto"/>
                <w:sz w:val="20"/>
                <w:szCs w:val="20"/>
                <w:highlight w:val="none"/>
                <w:lang w:bidi="ar"/>
              </w:rPr>
              <w:t>t/a</w:t>
            </w:r>
            <w:r>
              <w:rPr>
                <w:rStyle w:val="46"/>
                <w:rFonts w:hint="eastAsia" w:ascii="Times New Roman" w:hAnsi="Times New Roman" w:eastAsia="宋体" w:cs="Times New Roman"/>
                <w:b w:val="0"/>
                <w:bCs/>
                <w:color w:val="auto"/>
                <w:sz w:val="20"/>
                <w:szCs w:val="20"/>
                <w:highlight w:val="none"/>
                <w:lang w:eastAsia="zh-CN" w:bidi="ar"/>
              </w:rPr>
              <w:t>）</w:t>
            </w:r>
          </w:p>
        </w:tc>
        <w:tc>
          <w:tcPr>
            <w:tcW w:w="271" w:type="pct"/>
            <w:tcBorders>
              <w:tl2br w:val="nil"/>
              <w:tr2bl w:val="nil"/>
            </w:tcBorders>
            <w:noWrap w:val="0"/>
            <w:vAlign w:val="center"/>
          </w:tcPr>
          <w:p w14:paraId="579740D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排放</w:t>
            </w:r>
          </w:p>
          <w:p w14:paraId="140EF807">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cs="Times New Roman"/>
                <w:color w:val="auto"/>
                <w:kern w:val="0"/>
                <w:sz w:val="20"/>
                <w:szCs w:val="20"/>
                <w:highlight w:val="none"/>
                <w:lang w:bidi="ar"/>
              </w:rPr>
              <w:t>速率</w:t>
            </w:r>
            <w:r>
              <w:rPr>
                <w:rStyle w:val="46"/>
                <w:rFonts w:hint="eastAsia" w:ascii="Times New Roman" w:hAnsi="Times New Roman" w:eastAsia="宋体" w:cs="Times New Roman"/>
                <w:b w:val="0"/>
                <w:bCs/>
                <w:color w:val="auto"/>
                <w:sz w:val="20"/>
                <w:szCs w:val="20"/>
                <w:highlight w:val="none"/>
                <w:lang w:eastAsia="zh-CN" w:bidi="ar"/>
              </w:rPr>
              <w:t>（</w:t>
            </w:r>
            <w:r>
              <w:rPr>
                <w:rStyle w:val="46"/>
                <w:rFonts w:hint="default" w:ascii="Times New Roman" w:hAnsi="Times New Roman" w:cs="Times New Roman"/>
                <w:b w:val="0"/>
                <w:bCs/>
                <w:color w:val="auto"/>
                <w:sz w:val="20"/>
                <w:szCs w:val="20"/>
                <w:highlight w:val="none"/>
                <w:lang w:bidi="ar"/>
              </w:rPr>
              <w:t>kg/h</w:t>
            </w:r>
            <w:r>
              <w:rPr>
                <w:rStyle w:val="46"/>
                <w:rFonts w:hint="eastAsia" w:ascii="Times New Roman" w:hAnsi="Times New Roman" w:eastAsia="宋体" w:cs="Times New Roman"/>
                <w:b w:val="0"/>
                <w:bCs/>
                <w:color w:val="auto"/>
                <w:sz w:val="20"/>
                <w:szCs w:val="20"/>
                <w:highlight w:val="none"/>
                <w:lang w:eastAsia="zh-CN" w:bidi="ar"/>
              </w:rPr>
              <w:t>）</w:t>
            </w:r>
          </w:p>
        </w:tc>
        <w:tc>
          <w:tcPr>
            <w:tcW w:w="221" w:type="pct"/>
            <w:tcBorders>
              <w:tl2br w:val="nil"/>
              <w:tr2bl w:val="nil"/>
            </w:tcBorders>
            <w:noWrap w:val="0"/>
            <w:vAlign w:val="center"/>
          </w:tcPr>
          <w:p w14:paraId="388BB7D5">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cs="Times New Roman"/>
                <w:color w:val="auto"/>
                <w:kern w:val="0"/>
                <w:sz w:val="20"/>
                <w:szCs w:val="20"/>
                <w:highlight w:val="none"/>
                <w:lang w:bidi="ar"/>
              </w:rPr>
              <w:t>排放浓度</w:t>
            </w:r>
            <w:r>
              <w:rPr>
                <w:rStyle w:val="46"/>
                <w:rFonts w:hint="eastAsia" w:ascii="Times New Roman" w:hAnsi="Times New Roman" w:eastAsia="宋体" w:cs="Times New Roman"/>
                <w:b w:val="0"/>
                <w:bCs/>
                <w:color w:val="auto"/>
                <w:sz w:val="20"/>
                <w:szCs w:val="20"/>
                <w:highlight w:val="none"/>
                <w:lang w:eastAsia="zh-CN" w:bidi="ar"/>
              </w:rPr>
              <w:t>（</w:t>
            </w:r>
            <w:r>
              <w:rPr>
                <w:rStyle w:val="46"/>
                <w:rFonts w:hint="default" w:ascii="Times New Roman" w:hAnsi="Times New Roman" w:cs="Times New Roman"/>
                <w:b w:val="0"/>
                <w:bCs/>
                <w:color w:val="auto"/>
                <w:sz w:val="20"/>
                <w:szCs w:val="20"/>
                <w:highlight w:val="none"/>
                <w:lang w:bidi="ar"/>
              </w:rPr>
              <w:t>mg/m</w:t>
            </w:r>
            <w:r>
              <w:rPr>
                <w:rStyle w:val="45"/>
                <w:rFonts w:hint="default" w:ascii="Times New Roman" w:hAnsi="Times New Roman" w:cs="Times New Roman"/>
                <w:b w:val="0"/>
                <w:bCs/>
                <w:color w:val="auto"/>
                <w:sz w:val="20"/>
                <w:szCs w:val="20"/>
                <w:highlight w:val="none"/>
                <w:vertAlign w:val="superscript"/>
                <w:lang w:bidi="ar"/>
              </w:rPr>
              <w:t>3</w:t>
            </w:r>
            <w:r>
              <w:rPr>
                <w:rStyle w:val="45"/>
                <w:rFonts w:hint="eastAsia" w:ascii="Times New Roman" w:hAnsi="Times New Roman" w:eastAsia="宋体" w:cs="Times New Roman"/>
                <w:b w:val="0"/>
                <w:bCs/>
                <w:color w:val="auto"/>
                <w:sz w:val="20"/>
                <w:szCs w:val="20"/>
                <w:highlight w:val="none"/>
                <w:vertAlign w:val="baseline"/>
                <w:lang w:eastAsia="zh-CN" w:bidi="ar"/>
              </w:rPr>
              <w:t>）</w:t>
            </w:r>
          </w:p>
        </w:tc>
        <w:tc>
          <w:tcPr>
            <w:tcW w:w="285" w:type="pct"/>
            <w:tcBorders>
              <w:tl2br w:val="nil"/>
              <w:tr2bl w:val="nil"/>
            </w:tcBorders>
            <w:noWrap w:val="0"/>
            <w:vAlign w:val="center"/>
          </w:tcPr>
          <w:p w14:paraId="5E14DA9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排气筒内径、高度、温度</w:t>
            </w:r>
          </w:p>
        </w:tc>
        <w:tc>
          <w:tcPr>
            <w:tcW w:w="301" w:type="pct"/>
            <w:tcBorders>
              <w:tl2br w:val="nil"/>
              <w:tr2bl w:val="nil"/>
            </w:tcBorders>
            <w:noWrap w:val="0"/>
            <w:vAlign w:val="center"/>
          </w:tcPr>
          <w:p w14:paraId="633B7F97">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编号及名称、类型</w:t>
            </w:r>
          </w:p>
        </w:tc>
        <w:tc>
          <w:tcPr>
            <w:tcW w:w="283" w:type="pct"/>
            <w:tcBorders>
              <w:tl2br w:val="nil"/>
              <w:tr2bl w:val="nil"/>
            </w:tcBorders>
            <w:noWrap w:val="0"/>
            <w:vAlign w:val="center"/>
          </w:tcPr>
          <w:p w14:paraId="67C72D4F">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地理</w:t>
            </w:r>
          </w:p>
          <w:p w14:paraId="00FADD85">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坐标</w:t>
            </w:r>
          </w:p>
        </w:tc>
        <w:tc>
          <w:tcPr>
            <w:tcW w:w="143" w:type="pct"/>
            <w:vMerge w:val="continue"/>
            <w:tcBorders>
              <w:tl2br w:val="nil"/>
              <w:tr2bl w:val="nil"/>
            </w:tcBorders>
            <w:noWrap w:val="0"/>
            <w:vAlign w:val="center"/>
          </w:tcPr>
          <w:p w14:paraId="0B7C8BF1">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p>
        </w:tc>
        <w:tc>
          <w:tcPr>
            <w:tcW w:w="215" w:type="pct"/>
            <w:tcBorders>
              <w:tl2br w:val="nil"/>
              <w:tr2bl w:val="nil"/>
            </w:tcBorders>
            <w:noWrap w:val="0"/>
            <w:vAlign w:val="center"/>
          </w:tcPr>
          <w:p w14:paraId="056966C6">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b w:val="0"/>
                <w:bCs w:val="0"/>
                <w:color w:val="auto"/>
                <w:kern w:val="0"/>
                <w:sz w:val="20"/>
                <w:szCs w:val="20"/>
                <w:highlight w:val="none"/>
                <w:lang w:bidi="ar"/>
              </w:rPr>
            </w:pPr>
            <w:r>
              <w:rPr>
                <w:rFonts w:hint="default" w:ascii="Times New Roman" w:hAnsi="Times New Roman" w:eastAsia="宋体" w:cs="Times New Roman"/>
                <w:b w:val="0"/>
                <w:bCs w:val="0"/>
                <w:color w:val="auto"/>
                <w:kern w:val="0"/>
                <w:sz w:val="20"/>
                <w:szCs w:val="20"/>
                <w:highlight w:val="none"/>
                <w:lang w:bidi="ar"/>
              </w:rPr>
              <w:t>浓度/</w:t>
            </w:r>
          </w:p>
          <w:p w14:paraId="6D8D5DD6">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b w:val="0"/>
                <w:bCs w:val="0"/>
                <w:color w:val="auto"/>
                <w:kern w:val="0"/>
                <w:sz w:val="20"/>
                <w:szCs w:val="20"/>
                <w:highlight w:val="none"/>
                <w:lang w:bidi="ar"/>
              </w:rPr>
            </w:pPr>
            <w:r>
              <w:rPr>
                <w:rFonts w:hint="default" w:ascii="Times New Roman" w:hAnsi="Times New Roman" w:eastAsia="宋体" w:cs="Times New Roman"/>
                <w:b w:val="0"/>
                <w:bCs w:val="0"/>
                <w:color w:val="auto"/>
                <w:kern w:val="0"/>
                <w:sz w:val="20"/>
                <w:szCs w:val="20"/>
                <w:highlight w:val="none"/>
                <w:lang w:bidi="ar"/>
              </w:rPr>
              <w:t>mg/m</w:t>
            </w:r>
            <w:r>
              <w:rPr>
                <w:rFonts w:hint="default" w:ascii="Times New Roman" w:hAnsi="Times New Roman" w:eastAsia="宋体" w:cs="Times New Roman"/>
                <w:b w:val="0"/>
                <w:bCs w:val="0"/>
                <w:color w:val="auto"/>
                <w:kern w:val="0"/>
                <w:sz w:val="20"/>
                <w:szCs w:val="20"/>
                <w:highlight w:val="none"/>
                <w:vertAlign w:val="superscript"/>
                <w:lang w:bidi="ar"/>
              </w:rPr>
              <w:t>3</w:t>
            </w:r>
          </w:p>
        </w:tc>
        <w:tc>
          <w:tcPr>
            <w:tcW w:w="141" w:type="pct"/>
            <w:tcBorders>
              <w:tl2br w:val="nil"/>
              <w:tr2bl w:val="nil"/>
            </w:tcBorders>
            <w:noWrap w:val="0"/>
            <w:vAlign w:val="center"/>
          </w:tcPr>
          <w:p w14:paraId="28CF599B">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b w:val="0"/>
                <w:bCs w:val="0"/>
                <w:color w:val="auto"/>
                <w:kern w:val="0"/>
                <w:sz w:val="20"/>
                <w:szCs w:val="20"/>
                <w:highlight w:val="none"/>
                <w:lang w:bidi="ar"/>
              </w:rPr>
            </w:pPr>
            <w:r>
              <w:rPr>
                <w:rFonts w:hint="default" w:ascii="Times New Roman" w:hAnsi="Times New Roman" w:eastAsia="宋体" w:cs="Times New Roman"/>
                <w:b w:val="0"/>
                <w:bCs w:val="0"/>
                <w:color w:val="auto"/>
                <w:kern w:val="0"/>
                <w:sz w:val="20"/>
                <w:szCs w:val="20"/>
                <w:highlight w:val="none"/>
                <w:lang w:bidi="ar"/>
              </w:rPr>
              <w:t>速率kg/h</w:t>
            </w:r>
          </w:p>
        </w:tc>
      </w:tr>
      <w:tr w14:paraId="6B27DE87">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530" w:hRule="atLeast"/>
        </w:trPr>
        <w:tc>
          <w:tcPr>
            <w:tcW w:w="135" w:type="pct"/>
            <w:vMerge w:val="restart"/>
            <w:tcBorders>
              <w:tl2br w:val="nil"/>
              <w:tr2bl w:val="nil"/>
            </w:tcBorders>
            <w:noWrap w:val="0"/>
            <w:vAlign w:val="center"/>
          </w:tcPr>
          <w:p w14:paraId="599C9B19">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kern w:val="0"/>
                <w:sz w:val="20"/>
                <w:szCs w:val="20"/>
                <w:highlight w:val="none"/>
                <w:lang w:val="en-US" w:eastAsia="zh-CN" w:bidi="ar"/>
              </w:rPr>
              <w:t>印刷</w:t>
            </w:r>
          </w:p>
        </w:tc>
        <w:tc>
          <w:tcPr>
            <w:tcW w:w="119" w:type="pct"/>
            <w:tcBorders>
              <w:tl2br w:val="nil"/>
              <w:tr2bl w:val="nil"/>
            </w:tcBorders>
            <w:noWrap w:val="0"/>
            <w:vAlign w:val="center"/>
          </w:tcPr>
          <w:p w14:paraId="6FEFC29E">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kern w:val="0"/>
                <w:sz w:val="20"/>
                <w:szCs w:val="20"/>
                <w:highlight w:val="none"/>
                <w:lang w:val="en-US" w:eastAsia="zh-CN" w:bidi="ar"/>
              </w:rPr>
              <w:t>DA001</w:t>
            </w:r>
          </w:p>
        </w:tc>
        <w:tc>
          <w:tcPr>
            <w:tcW w:w="146" w:type="pct"/>
            <w:vMerge w:val="restart"/>
            <w:tcBorders>
              <w:tl2br w:val="nil"/>
              <w:tr2bl w:val="nil"/>
            </w:tcBorders>
            <w:noWrap/>
            <w:vAlign w:val="center"/>
          </w:tcPr>
          <w:p w14:paraId="56A10C63">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kern w:val="0"/>
                <w:sz w:val="20"/>
                <w:szCs w:val="20"/>
                <w:highlight w:val="none"/>
                <w:lang w:bidi="ar"/>
              </w:rPr>
            </w:pPr>
            <w:r>
              <w:rPr>
                <w:rFonts w:hint="default" w:ascii="Times New Roman" w:hAnsi="Times New Roman" w:eastAsia="宋体" w:cs="Times New Roman"/>
                <w:color w:val="auto"/>
                <w:kern w:val="0"/>
                <w:sz w:val="20"/>
                <w:szCs w:val="20"/>
                <w:highlight w:val="none"/>
                <w:lang w:bidi="ar"/>
              </w:rPr>
              <w:t>非甲烷总烃</w:t>
            </w:r>
          </w:p>
          <w:p w14:paraId="58A665B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kern w:val="0"/>
                <w:sz w:val="20"/>
                <w:szCs w:val="20"/>
                <w:highlight w:val="none"/>
                <w:lang w:bidi="ar"/>
              </w:rPr>
            </w:pPr>
          </w:p>
        </w:tc>
        <w:tc>
          <w:tcPr>
            <w:tcW w:w="207" w:type="pct"/>
            <w:vMerge w:val="restart"/>
            <w:tcBorders>
              <w:tl2br w:val="nil"/>
              <w:tr2bl w:val="nil"/>
            </w:tcBorders>
            <w:noWrap w:val="0"/>
            <w:vAlign w:val="center"/>
          </w:tcPr>
          <w:p w14:paraId="4D12FB3D">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产污系数法</w:t>
            </w:r>
            <w:r>
              <w:rPr>
                <w:rFonts w:hint="default" w:ascii="Times New Roman" w:hAnsi="Times New Roman" w:cs="Times New Roman"/>
                <w:color w:val="auto"/>
                <w:kern w:val="0"/>
                <w:sz w:val="20"/>
                <w:szCs w:val="20"/>
                <w:highlight w:val="none"/>
                <w:lang w:val="en-US" w:eastAsia="zh-CN" w:bidi="ar"/>
              </w:rPr>
              <w:t>+物料衡算法</w:t>
            </w:r>
          </w:p>
        </w:tc>
        <w:tc>
          <w:tcPr>
            <w:tcW w:w="249" w:type="pct"/>
            <w:tcBorders>
              <w:tl2br w:val="nil"/>
              <w:tr2bl w:val="nil"/>
            </w:tcBorders>
            <w:noWrap w:val="0"/>
            <w:vAlign w:val="center"/>
          </w:tcPr>
          <w:p w14:paraId="016739B4">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10000</w:t>
            </w:r>
          </w:p>
        </w:tc>
        <w:tc>
          <w:tcPr>
            <w:tcW w:w="253" w:type="pct"/>
            <w:tcBorders>
              <w:tl2br w:val="nil"/>
              <w:tr2bl w:val="nil"/>
            </w:tcBorders>
            <w:noWrap w:val="0"/>
            <w:vAlign w:val="center"/>
          </w:tcPr>
          <w:p w14:paraId="42E5050E">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rPr>
            </w:pPr>
            <w:r>
              <w:rPr>
                <w:rFonts w:hint="eastAsia" w:ascii="Times New Roman" w:hAnsi="Times New Roman" w:eastAsia="宋体" w:cs="Times New Roman"/>
                <w:i w:val="0"/>
                <w:iCs w:val="0"/>
                <w:color w:val="auto"/>
                <w:kern w:val="0"/>
                <w:sz w:val="20"/>
                <w:szCs w:val="20"/>
                <w:highlight w:val="none"/>
                <w:u w:val="none"/>
                <w:lang w:val="en-US" w:eastAsia="zh-CN" w:bidi="ar"/>
              </w:rPr>
              <w:t>0.3617</w:t>
            </w:r>
          </w:p>
        </w:tc>
        <w:tc>
          <w:tcPr>
            <w:tcW w:w="281" w:type="pct"/>
            <w:tcBorders>
              <w:tl2br w:val="nil"/>
              <w:tr2bl w:val="nil"/>
            </w:tcBorders>
            <w:noWrap w:val="0"/>
            <w:vAlign w:val="center"/>
          </w:tcPr>
          <w:p w14:paraId="49247D8C">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0.048</w:t>
            </w:r>
          </w:p>
        </w:tc>
        <w:tc>
          <w:tcPr>
            <w:tcW w:w="259" w:type="pct"/>
            <w:tcBorders>
              <w:tl2br w:val="nil"/>
              <w:tr2bl w:val="nil"/>
            </w:tcBorders>
            <w:noWrap w:val="0"/>
            <w:vAlign w:val="center"/>
          </w:tcPr>
          <w:p w14:paraId="436DD3E4">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4.8</w:t>
            </w:r>
          </w:p>
        </w:tc>
        <w:tc>
          <w:tcPr>
            <w:tcW w:w="132" w:type="pct"/>
            <w:tcBorders>
              <w:tl2br w:val="nil"/>
              <w:tr2bl w:val="nil"/>
            </w:tcBorders>
            <w:noWrap/>
            <w:vAlign w:val="center"/>
          </w:tcPr>
          <w:p w14:paraId="5D9F6D21">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有组织</w:t>
            </w:r>
          </w:p>
        </w:tc>
        <w:tc>
          <w:tcPr>
            <w:tcW w:w="269" w:type="pct"/>
            <w:tcBorders>
              <w:tl2br w:val="nil"/>
              <w:tr2bl w:val="nil"/>
            </w:tcBorders>
            <w:noWrap w:val="0"/>
            <w:vAlign w:val="center"/>
          </w:tcPr>
          <w:p w14:paraId="3B7BECB6">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sz w:val="20"/>
                <w:szCs w:val="20"/>
                <w:highlight w:val="none"/>
                <w:lang w:eastAsia="zh-CN"/>
              </w:rPr>
            </w:pPr>
            <w:r>
              <w:rPr>
                <w:rFonts w:hint="eastAsia" w:ascii="宋体" w:hAnsi="宋体" w:eastAsia="宋体" w:cs="宋体"/>
                <w:i w:val="0"/>
                <w:iCs w:val="0"/>
                <w:color w:val="auto"/>
                <w:kern w:val="0"/>
                <w:sz w:val="20"/>
                <w:szCs w:val="20"/>
                <w:highlight w:val="none"/>
                <w:u w:val="none"/>
                <w:lang w:val="en-US" w:eastAsia="zh-CN" w:bidi="ar"/>
              </w:rPr>
              <w:t>经集气罩收集后进入二级活性炭吸附装置处理</w:t>
            </w:r>
          </w:p>
        </w:tc>
        <w:tc>
          <w:tcPr>
            <w:tcW w:w="210" w:type="pct"/>
            <w:tcBorders>
              <w:tl2br w:val="nil"/>
              <w:tr2bl w:val="nil"/>
            </w:tcBorders>
            <w:noWrap w:val="0"/>
            <w:vAlign w:val="center"/>
          </w:tcPr>
          <w:p w14:paraId="19318E8B">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kern w:val="0"/>
                <w:sz w:val="20"/>
                <w:szCs w:val="20"/>
                <w:highlight w:val="none"/>
                <w:lang w:val="en-US" w:eastAsia="zh-CN" w:bidi="ar"/>
              </w:rPr>
              <w:t>80%</w:t>
            </w:r>
          </w:p>
        </w:tc>
        <w:tc>
          <w:tcPr>
            <w:tcW w:w="204" w:type="pct"/>
            <w:tcBorders>
              <w:tl2br w:val="nil"/>
              <w:tr2bl w:val="nil"/>
            </w:tcBorders>
            <w:noWrap w:val="0"/>
            <w:vAlign w:val="center"/>
          </w:tcPr>
          <w:p w14:paraId="5F454BBF">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lang w:val="en-US"/>
              </w:rPr>
            </w:pPr>
            <w:r>
              <w:rPr>
                <w:rFonts w:hint="eastAsia" w:ascii="Times New Roman" w:hAnsi="Times New Roman" w:cs="Times New Roman"/>
                <w:color w:val="auto"/>
                <w:kern w:val="0"/>
                <w:sz w:val="20"/>
                <w:szCs w:val="20"/>
                <w:highlight w:val="none"/>
                <w:lang w:val="en-US" w:eastAsia="zh-CN" w:bidi="ar"/>
              </w:rPr>
              <w:t>75%</w:t>
            </w:r>
          </w:p>
        </w:tc>
        <w:tc>
          <w:tcPr>
            <w:tcW w:w="193" w:type="pct"/>
            <w:tcBorders>
              <w:tl2br w:val="nil"/>
              <w:tr2bl w:val="nil"/>
            </w:tcBorders>
            <w:noWrap w:val="0"/>
            <w:vAlign w:val="center"/>
          </w:tcPr>
          <w:p w14:paraId="1155E781">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是</w:t>
            </w:r>
          </w:p>
        </w:tc>
        <w:tc>
          <w:tcPr>
            <w:tcW w:w="205" w:type="pct"/>
            <w:tcBorders>
              <w:tl2br w:val="nil"/>
              <w:tr2bl w:val="nil"/>
            </w:tcBorders>
            <w:noWrap w:val="0"/>
            <w:vAlign w:val="center"/>
          </w:tcPr>
          <w:p w14:paraId="793DBE92">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10000</w:t>
            </w:r>
          </w:p>
        </w:tc>
        <w:tc>
          <w:tcPr>
            <w:tcW w:w="269" w:type="pct"/>
            <w:tcBorders>
              <w:tl2br w:val="nil"/>
              <w:tr2bl w:val="nil"/>
            </w:tcBorders>
            <w:noWrap w:val="0"/>
            <w:vAlign w:val="center"/>
          </w:tcPr>
          <w:p w14:paraId="7C186907">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rPr>
            </w:pPr>
            <w:r>
              <w:rPr>
                <w:rFonts w:hint="eastAsia" w:ascii="Times New Roman" w:hAnsi="Times New Roman" w:eastAsia="宋体" w:cs="Times New Roman"/>
                <w:i w:val="0"/>
                <w:iCs w:val="0"/>
                <w:color w:val="auto"/>
                <w:kern w:val="0"/>
                <w:sz w:val="20"/>
                <w:szCs w:val="20"/>
                <w:highlight w:val="none"/>
                <w:u w:val="none"/>
                <w:lang w:val="en-US" w:eastAsia="zh-CN" w:bidi="ar"/>
              </w:rPr>
              <w:t>0.0904</w:t>
            </w:r>
          </w:p>
        </w:tc>
        <w:tc>
          <w:tcPr>
            <w:tcW w:w="271" w:type="pct"/>
            <w:tcBorders>
              <w:tl2br w:val="nil"/>
              <w:tr2bl w:val="nil"/>
            </w:tcBorders>
            <w:noWrap w:val="0"/>
            <w:vAlign w:val="center"/>
          </w:tcPr>
          <w:p w14:paraId="3A880F69">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0.012</w:t>
            </w:r>
          </w:p>
        </w:tc>
        <w:tc>
          <w:tcPr>
            <w:tcW w:w="221" w:type="pct"/>
            <w:tcBorders>
              <w:tl2br w:val="nil"/>
              <w:tr2bl w:val="nil"/>
            </w:tcBorders>
            <w:noWrap w:val="0"/>
            <w:vAlign w:val="center"/>
          </w:tcPr>
          <w:p w14:paraId="1CD00F1A">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c>
          <w:tcPr>
            <w:tcW w:w="285" w:type="pct"/>
            <w:tcBorders>
              <w:tl2br w:val="nil"/>
              <w:tr2bl w:val="nil"/>
            </w:tcBorders>
            <w:noWrap w:val="0"/>
            <w:vAlign w:val="center"/>
          </w:tcPr>
          <w:p w14:paraId="49C33EF9">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b w:val="0"/>
                <w:bCs w:val="0"/>
                <w:color w:val="auto"/>
                <w:kern w:val="0"/>
                <w:sz w:val="20"/>
                <w:szCs w:val="20"/>
                <w:highlight w:val="none"/>
                <w:lang w:val="en-US" w:eastAsia="zh-CN" w:bidi="ar"/>
              </w:rPr>
            </w:pPr>
            <w:r>
              <w:rPr>
                <w:rFonts w:hint="default" w:ascii="Times New Roman" w:hAnsi="Times New Roman" w:cs="Times New Roman"/>
                <w:b w:val="0"/>
                <w:bCs w:val="0"/>
                <w:color w:val="auto"/>
                <w:kern w:val="0"/>
                <w:sz w:val="20"/>
                <w:szCs w:val="20"/>
                <w:highlight w:val="none"/>
                <w:lang w:bidi="ar"/>
              </w:rPr>
              <w:t>H=</w:t>
            </w:r>
            <w:r>
              <w:rPr>
                <w:rFonts w:hint="eastAsia" w:ascii="Times New Roman" w:hAnsi="Times New Roman" w:cs="Times New Roman"/>
                <w:b w:val="0"/>
                <w:bCs w:val="0"/>
                <w:color w:val="auto"/>
                <w:kern w:val="0"/>
                <w:sz w:val="20"/>
                <w:szCs w:val="20"/>
                <w:highlight w:val="none"/>
                <w:lang w:val="en-US" w:eastAsia="zh-CN" w:bidi="ar"/>
              </w:rPr>
              <w:t>15</w:t>
            </w:r>
            <w:r>
              <w:rPr>
                <w:rFonts w:hint="default" w:ascii="Times New Roman" w:hAnsi="Times New Roman" w:cs="Times New Roman"/>
                <w:b w:val="0"/>
                <w:bCs w:val="0"/>
                <w:color w:val="auto"/>
                <w:kern w:val="0"/>
                <w:sz w:val="20"/>
                <w:szCs w:val="20"/>
                <w:highlight w:val="none"/>
                <w:lang w:val="en-US" w:eastAsia="zh-CN" w:bidi="ar"/>
              </w:rPr>
              <w:t>m</w:t>
            </w:r>
          </w:p>
          <w:p w14:paraId="7ED20131">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2"/>
                <w:sz w:val="20"/>
                <w:szCs w:val="20"/>
                <w:highlight w:val="none"/>
                <w:lang w:val="en-US" w:eastAsia="zh-CN" w:bidi="ar-SA"/>
              </w:rPr>
            </w:pPr>
            <w:r>
              <w:rPr>
                <w:rStyle w:val="47"/>
                <w:rFonts w:hint="default" w:ascii="Times New Roman" w:hAnsi="Times New Roman" w:cs="Times New Roman"/>
                <w:b w:val="0"/>
                <w:bCs w:val="0"/>
                <w:color w:val="auto"/>
                <w:sz w:val="20"/>
                <w:szCs w:val="20"/>
                <w:highlight w:val="none"/>
                <w:vertAlign w:val="baseline"/>
                <w:lang w:bidi="ar"/>
              </w:rPr>
              <w:t>内径</w:t>
            </w:r>
            <w:r>
              <w:rPr>
                <w:rStyle w:val="46"/>
                <w:rFonts w:hint="default" w:ascii="Times New Roman" w:hAnsi="Times New Roman" w:cs="Times New Roman"/>
                <w:b w:val="0"/>
                <w:bCs w:val="0"/>
                <w:color w:val="auto"/>
                <w:sz w:val="20"/>
                <w:szCs w:val="20"/>
                <w:highlight w:val="none"/>
                <w:lang w:bidi="ar"/>
              </w:rPr>
              <w:t>0.</w:t>
            </w:r>
            <w:r>
              <w:rPr>
                <w:rStyle w:val="46"/>
                <w:rFonts w:hint="eastAsia" w:ascii="Times New Roman" w:hAnsi="Times New Roman" w:cs="Times New Roman"/>
                <w:b w:val="0"/>
                <w:bCs w:val="0"/>
                <w:color w:val="auto"/>
                <w:sz w:val="20"/>
                <w:szCs w:val="20"/>
                <w:highlight w:val="none"/>
                <w:lang w:val="en-US" w:eastAsia="zh-CN" w:bidi="ar"/>
              </w:rPr>
              <w:t>5</w:t>
            </w:r>
            <w:r>
              <w:rPr>
                <w:rStyle w:val="46"/>
                <w:rFonts w:hint="default" w:ascii="Times New Roman" w:hAnsi="Times New Roman" w:cs="Times New Roman"/>
                <w:b w:val="0"/>
                <w:bCs w:val="0"/>
                <w:color w:val="auto"/>
                <w:sz w:val="20"/>
                <w:szCs w:val="20"/>
                <w:highlight w:val="none"/>
                <w:lang w:bidi="ar"/>
              </w:rPr>
              <w:t>m</w:t>
            </w:r>
            <w:r>
              <w:rPr>
                <w:rStyle w:val="47"/>
                <w:rFonts w:hint="default" w:ascii="Times New Roman" w:hAnsi="Times New Roman" w:cs="Times New Roman"/>
                <w:b w:val="0"/>
                <w:bCs w:val="0"/>
                <w:color w:val="auto"/>
                <w:sz w:val="20"/>
                <w:szCs w:val="20"/>
                <w:highlight w:val="none"/>
                <w:lang w:bidi="ar"/>
              </w:rPr>
              <w:t>、</w:t>
            </w:r>
            <w:r>
              <w:rPr>
                <w:rStyle w:val="47"/>
                <w:rFonts w:hint="default" w:ascii="Times New Roman" w:hAnsi="Times New Roman" w:cs="Times New Roman"/>
                <w:b w:val="0"/>
                <w:bCs w:val="0"/>
                <w:color w:val="auto"/>
                <w:sz w:val="20"/>
                <w:szCs w:val="20"/>
                <w:highlight w:val="none"/>
                <w:vertAlign w:val="baseline"/>
                <w:lang w:bidi="ar"/>
              </w:rPr>
              <w:t>温度</w:t>
            </w:r>
            <w:r>
              <w:rPr>
                <w:rStyle w:val="46"/>
                <w:rFonts w:hint="default" w:ascii="Times New Roman" w:hAnsi="Times New Roman" w:cs="Times New Roman"/>
                <w:b w:val="0"/>
                <w:bCs w:val="0"/>
                <w:color w:val="auto"/>
                <w:sz w:val="20"/>
                <w:szCs w:val="20"/>
                <w:highlight w:val="none"/>
                <w:lang w:bidi="ar"/>
              </w:rPr>
              <w:t>25℃</w:t>
            </w:r>
          </w:p>
        </w:tc>
        <w:tc>
          <w:tcPr>
            <w:tcW w:w="301" w:type="pct"/>
            <w:tcBorders>
              <w:tl2br w:val="nil"/>
              <w:tr2bl w:val="nil"/>
            </w:tcBorders>
            <w:noWrap w:val="0"/>
            <w:vAlign w:val="center"/>
          </w:tcPr>
          <w:p w14:paraId="5F80E123">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2"/>
                <w:sz w:val="20"/>
                <w:szCs w:val="20"/>
                <w:highlight w:val="none"/>
                <w:lang w:val="en-US" w:eastAsia="zh-CN" w:bidi="ar-SA"/>
              </w:rPr>
            </w:pPr>
            <w:r>
              <w:rPr>
                <w:rFonts w:hint="default" w:ascii="Times New Roman" w:hAnsi="Times New Roman" w:eastAsia="宋体" w:cs="Times New Roman"/>
                <w:color w:val="auto"/>
                <w:sz w:val="20"/>
                <w:szCs w:val="20"/>
                <w:highlight w:val="none"/>
                <w:lang w:val="en-US" w:eastAsia="zh-CN"/>
              </w:rPr>
              <w:t>DA001一般排放口</w:t>
            </w:r>
          </w:p>
        </w:tc>
        <w:tc>
          <w:tcPr>
            <w:tcW w:w="283" w:type="pct"/>
            <w:tcBorders>
              <w:tl2br w:val="nil"/>
              <w:tr2bl w:val="nil"/>
            </w:tcBorders>
            <w:noWrap w:val="0"/>
            <w:vAlign w:val="center"/>
          </w:tcPr>
          <w:p w14:paraId="3708FE06">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kern w:val="0"/>
                <w:sz w:val="20"/>
                <w:szCs w:val="20"/>
                <w:highlight w:val="none"/>
                <w:lang w:val="en-US" w:eastAsia="zh-CN" w:bidi="ar"/>
              </w:rPr>
            </w:pPr>
            <w:r>
              <w:rPr>
                <w:rFonts w:hint="eastAsia" w:ascii="Times New Roman" w:hAnsi="Times New Roman" w:cs="Times New Roman"/>
                <w:color w:val="auto"/>
                <w:sz w:val="20"/>
                <w:szCs w:val="20"/>
                <w:highlight w:val="none"/>
                <w:lang w:val="en-US" w:eastAsia="zh-CN"/>
              </w:rPr>
              <w:t>(E:</w:t>
            </w:r>
            <w:r>
              <w:rPr>
                <w:rFonts w:ascii="Times New Roman" w:hAnsi="Times New Roman" w:cs="Times New Roman"/>
                <w:color w:val="auto"/>
                <w:highlight w:val="none"/>
              </w:rPr>
              <w:t>118.14725831</w:t>
            </w:r>
            <w:r>
              <w:rPr>
                <w:rFonts w:hint="eastAsia"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sz w:val="20"/>
                <w:szCs w:val="20"/>
                <w:highlight w:val="none"/>
                <w:lang w:val="en-US" w:eastAsia="zh-CN"/>
              </w:rPr>
              <w:t>N:</w:t>
            </w:r>
            <w:r>
              <w:rPr>
                <w:rFonts w:ascii="Times New Roman" w:hAnsi="Times New Roman" w:cs="Times New Roman"/>
                <w:color w:val="auto"/>
                <w:highlight w:val="none"/>
              </w:rPr>
              <w:t>25.36581028</w:t>
            </w:r>
            <w:r>
              <w:rPr>
                <w:rFonts w:hint="eastAsia" w:ascii="Times New Roman" w:hAnsi="Times New Roman" w:eastAsia="宋体" w:cs="Times New Roman"/>
                <w:color w:val="auto"/>
                <w:highlight w:val="none"/>
                <w:lang w:val="en-US" w:eastAsia="zh-CN"/>
              </w:rPr>
              <w:t>°)</w:t>
            </w:r>
          </w:p>
        </w:tc>
        <w:tc>
          <w:tcPr>
            <w:tcW w:w="143" w:type="pct"/>
            <w:vMerge w:val="restart"/>
            <w:tcBorders>
              <w:tl2br w:val="nil"/>
              <w:tr2bl w:val="nil"/>
            </w:tcBorders>
            <w:noWrap w:val="0"/>
            <w:vAlign w:val="center"/>
          </w:tcPr>
          <w:p w14:paraId="4CDDDEF8">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kern w:val="0"/>
                <w:sz w:val="20"/>
                <w:szCs w:val="20"/>
                <w:highlight w:val="none"/>
                <w:lang w:val="en-US" w:eastAsia="zh-CN" w:bidi="ar"/>
              </w:rPr>
            </w:pPr>
            <w:r>
              <w:rPr>
                <w:rFonts w:hint="eastAsia" w:ascii="Times New Roman" w:hAnsi="Times New Roman" w:cs="Times New Roman"/>
                <w:color w:val="auto"/>
                <w:kern w:val="0"/>
                <w:sz w:val="20"/>
                <w:szCs w:val="20"/>
                <w:highlight w:val="none"/>
                <w:lang w:val="en-US" w:eastAsia="zh-CN" w:bidi="ar"/>
              </w:rPr>
              <w:t>7488</w:t>
            </w:r>
          </w:p>
          <w:p w14:paraId="53840008">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kern w:val="0"/>
                <w:sz w:val="20"/>
                <w:szCs w:val="20"/>
                <w:highlight w:val="none"/>
                <w:lang w:val="en-US" w:eastAsia="zh-CN" w:bidi="ar"/>
              </w:rPr>
            </w:pPr>
          </w:p>
        </w:tc>
        <w:tc>
          <w:tcPr>
            <w:tcW w:w="215" w:type="pct"/>
            <w:tcBorders>
              <w:tl2br w:val="nil"/>
              <w:tr2bl w:val="nil"/>
            </w:tcBorders>
            <w:noWrap w:val="0"/>
            <w:vAlign w:val="center"/>
          </w:tcPr>
          <w:p w14:paraId="190747F2">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b w:val="0"/>
                <w:bCs w:val="0"/>
                <w:color w:val="auto"/>
                <w:sz w:val="20"/>
                <w:szCs w:val="20"/>
                <w:highlight w:val="none"/>
                <w:lang w:val="en-US" w:eastAsia="zh-CN"/>
              </w:rPr>
            </w:pPr>
            <w:r>
              <w:rPr>
                <w:rFonts w:hint="eastAsia" w:ascii="Times New Roman" w:hAnsi="Times New Roman" w:eastAsia="宋体" w:cs="Times New Roman"/>
                <w:b w:val="0"/>
                <w:bCs w:val="0"/>
                <w:color w:val="auto"/>
                <w:sz w:val="20"/>
                <w:szCs w:val="20"/>
                <w:highlight w:val="none"/>
                <w:lang w:val="en-US" w:eastAsia="zh-CN"/>
              </w:rPr>
              <w:t>50</w:t>
            </w:r>
          </w:p>
        </w:tc>
        <w:tc>
          <w:tcPr>
            <w:tcW w:w="141" w:type="pct"/>
            <w:tcBorders>
              <w:tl2br w:val="nil"/>
              <w:tr2bl w:val="nil"/>
            </w:tcBorders>
            <w:noWrap w:val="0"/>
            <w:vAlign w:val="center"/>
          </w:tcPr>
          <w:p w14:paraId="2C83337F">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eastAsia="宋体" w:cs="Times New Roman"/>
                <w:b w:val="0"/>
                <w:bCs w:val="0"/>
                <w:color w:val="auto"/>
                <w:sz w:val="20"/>
                <w:szCs w:val="20"/>
                <w:highlight w:val="none"/>
                <w:lang w:val="en-US" w:eastAsia="zh-CN"/>
              </w:rPr>
            </w:pPr>
            <w:r>
              <w:rPr>
                <w:rFonts w:hint="eastAsia" w:ascii="Times New Roman" w:hAnsi="Times New Roman" w:eastAsia="宋体" w:cs="Times New Roman"/>
                <w:b w:val="0"/>
                <w:bCs w:val="0"/>
                <w:color w:val="auto"/>
                <w:sz w:val="20"/>
                <w:szCs w:val="20"/>
                <w:highlight w:val="none"/>
                <w:lang w:val="en-US" w:eastAsia="zh-CN"/>
              </w:rPr>
              <w:t>1.5</w:t>
            </w:r>
          </w:p>
        </w:tc>
      </w:tr>
      <w:tr w14:paraId="2BB5B3F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97" w:hRule="atLeast"/>
        </w:trPr>
        <w:tc>
          <w:tcPr>
            <w:tcW w:w="135" w:type="pct"/>
            <w:vMerge w:val="continue"/>
            <w:tcBorders>
              <w:tl2br w:val="nil"/>
              <w:tr2bl w:val="nil"/>
            </w:tcBorders>
            <w:noWrap w:val="0"/>
            <w:vAlign w:val="center"/>
          </w:tcPr>
          <w:p w14:paraId="4D803097">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p>
        </w:tc>
        <w:tc>
          <w:tcPr>
            <w:tcW w:w="119" w:type="pct"/>
            <w:tcBorders>
              <w:tl2br w:val="nil"/>
              <w:tr2bl w:val="nil"/>
            </w:tcBorders>
            <w:noWrap w:val="0"/>
            <w:vAlign w:val="center"/>
          </w:tcPr>
          <w:p w14:paraId="30D6F074">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印刷车间</w:t>
            </w:r>
          </w:p>
        </w:tc>
        <w:tc>
          <w:tcPr>
            <w:tcW w:w="146" w:type="pct"/>
            <w:vMerge w:val="continue"/>
            <w:tcBorders>
              <w:tl2br w:val="nil"/>
              <w:tr2bl w:val="nil"/>
            </w:tcBorders>
            <w:noWrap/>
            <w:vAlign w:val="center"/>
          </w:tcPr>
          <w:p w14:paraId="79D240BA">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kern w:val="0"/>
                <w:sz w:val="20"/>
                <w:szCs w:val="20"/>
                <w:highlight w:val="none"/>
                <w:lang w:bidi="ar"/>
              </w:rPr>
            </w:pPr>
          </w:p>
        </w:tc>
        <w:tc>
          <w:tcPr>
            <w:tcW w:w="207" w:type="pct"/>
            <w:vMerge w:val="continue"/>
            <w:tcBorders>
              <w:tl2br w:val="nil"/>
              <w:tr2bl w:val="nil"/>
            </w:tcBorders>
            <w:noWrap w:val="0"/>
            <w:vAlign w:val="center"/>
          </w:tcPr>
          <w:p w14:paraId="228D3FBB">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p>
        </w:tc>
        <w:tc>
          <w:tcPr>
            <w:tcW w:w="249" w:type="pct"/>
            <w:tcBorders>
              <w:tl2br w:val="nil"/>
              <w:tr2bl w:val="nil"/>
            </w:tcBorders>
            <w:noWrap w:val="0"/>
            <w:vAlign w:val="center"/>
          </w:tcPr>
          <w:p w14:paraId="41A5F3BC">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731" w:type="dxa"/>
            <w:tcBorders>
              <w:tl2br w:val="nil"/>
              <w:tr2bl w:val="nil"/>
            </w:tcBorders>
            <w:noWrap w:val="0"/>
            <w:vAlign w:val="center"/>
          </w:tcPr>
          <w:p w14:paraId="20E3FC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0"/>
                <w:szCs w:val="20"/>
                <w:highlight w:val="none"/>
                <w:u w:val="none"/>
                <w:lang w:val="en-US" w:eastAsia="zh-CN" w:bidi="ar-SA"/>
              </w:rPr>
            </w:pPr>
            <w:r>
              <w:rPr>
                <w:rFonts w:hint="eastAsia" w:ascii="Times New Roman" w:hAnsi="Times New Roman" w:eastAsia="宋体" w:cs="Times New Roman"/>
                <w:i w:val="0"/>
                <w:iCs w:val="0"/>
                <w:color w:val="auto"/>
                <w:kern w:val="0"/>
                <w:sz w:val="20"/>
                <w:szCs w:val="20"/>
                <w:highlight w:val="none"/>
                <w:u w:val="none"/>
                <w:lang w:val="en-US" w:eastAsia="zh-CN" w:bidi="ar"/>
              </w:rPr>
              <w:t>0.0904</w:t>
            </w:r>
          </w:p>
        </w:tc>
        <w:tc>
          <w:tcPr>
            <w:tcW w:w="812" w:type="dxa"/>
            <w:tcBorders>
              <w:tl2br w:val="nil"/>
              <w:tr2bl w:val="nil"/>
            </w:tcBorders>
            <w:noWrap w:val="0"/>
            <w:vAlign w:val="center"/>
          </w:tcPr>
          <w:p w14:paraId="6FCC335C">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0.012</w:t>
            </w:r>
          </w:p>
        </w:tc>
        <w:tc>
          <w:tcPr>
            <w:tcW w:w="259" w:type="pct"/>
            <w:tcBorders>
              <w:tl2br w:val="nil"/>
              <w:tr2bl w:val="nil"/>
            </w:tcBorders>
            <w:noWrap w:val="0"/>
            <w:vAlign w:val="center"/>
          </w:tcPr>
          <w:p w14:paraId="28A79A4F">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132" w:type="pct"/>
            <w:tcBorders>
              <w:tl2br w:val="nil"/>
              <w:tr2bl w:val="nil"/>
            </w:tcBorders>
            <w:noWrap/>
            <w:vAlign w:val="center"/>
          </w:tcPr>
          <w:p w14:paraId="4D971DE9">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无组织</w:t>
            </w:r>
          </w:p>
        </w:tc>
        <w:tc>
          <w:tcPr>
            <w:tcW w:w="269" w:type="pct"/>
            <w:tcBorders>
              <w:tl2br w:val="nil"/>
              <w:tr2bl w:val="nil"/>
            </w:tcBorders>
            <w:noWrap w:val="0"/>
            <w:vAlign w:val="center"/>
          </w:tcPr>
          <w:p w14:paraId="1D38B61F">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车间通风</w:t>
            </w:r>
          </w:p>
        </w:tc>
        <w:tc>
          <w:tcPr>
            <w:tcW w:w="210" w:type="pct"/>
            <w:tcBorders>
              <w:tl2br w:val="nil"/>
              <w:tr2bl w:val="nil"/>
            </w:tcBorders>
            <w:noWrap w:val="0"/>
            <w:vAlign w:val="center"/>
          </w:tcPr>
          <w:p w14:paraId="7A2E5A6E">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204" w:type="pct"/>
            <w:tcBorders>
              <w:tl2br w:val="nil"/>
              <w:tr2bl w:val="nil"/>
            </w:tcBorders>
            <w:noWrap w:val="0"/>
            <w:vAlign w:val="center"/>
          </w:tcPr>
          <w:p w14:paraId="280ECB98">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193" w:type="pct"/>
            <w:tcBorders>
              <w:tl2br w:val="nil"/>
              <w:tr2bl w:val="nil"/>
            </w:tcBorders>
            <w:noWrap w:val="0"/>
            <w:vAlign w:val="center"/>
          </w:tcPr>
          <w:p w14:paraId="123B7A41">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205" w:type="pct"/>
            <w:tcBorders>
              <w:tl2br w:val="nil"/>
              <w:tr2bl w:val="nil"/>
            </w:tcBorders>
            <w:noWrap w:val="0"/>
            <w:vAlign w:val="center"/>
          </w:tcPr>
          <w:p w14:paraId="7D7EB4B0">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778" w:type="dxa"/>
            <w:tcBorders>
              <w:tl2br w:val="nil"/>
              <w:tr2bl w:val="nil"/>
            </w:tcBorders>
            <w:noWrap w:val="0"/>
            <w:vAlign w:val="center"/>
          </w:tcPr>
          <w:p w14:paraId="158DFCCB">
            <w:pPr>
              <w:keepNext w:val="0"/>
              <w:keepLines w:val="0"/>
              <w:widowControl/>
              <w:suppressLineNumbers w:val="0"/>
              <w:jc w:val="center"/>
              <w:textAlignment w:val="center"/>
              <w:rPr>
                <w:rFonts w:hint="default" w:ascii="Times New Roman" w:hAnsi="Times New Roman" w:cs="Times New Roman"/>
                <w:color w:val="auto"/>
                <w:sz w:val="20"/>
                <w:szCs w:val="20"/>
                <w:highlight w:val="none"/>
                <w:lang w:val="en-US"/>
              </w:rPr>
            </w:pPr>
            <w:r>
              <w:rPr>
                <w:rFonts w:hint="eastAsia" w:ascii="Times New Roman" w:hAnsi="Times New Roman" w:eastAsia="宋体" w:cs="Times New Roman"/>
                <w:i w:val="0"/>
                <w:iCs w:val="0"/>
                <w:color w:val="auto"/>
                <w:kern w:val="0"/>
                <w:sz w:val="20"/>
                <w:szCs w:val="20"/>
                <w:highlight w:val="none"/>
                <w:u w:val="none"/>
                <w:lang w:val="en-US" w:eastAsia="zh-CN" w:bidi="ar"/>
              </w:rPr>
              <w:t>0.0904</w:t>
            </w:r>
          </w:p>
        </w:tc>
        <w:tc>
          <w:tcPr>
            <w:tcW w:w="783" w:type="dxa"/>
            <w:tcBorders>
              <w:tl2br w:val="nil"/>
              <w:tr2bl w:val="nil"/>
            </w:tcBorders>
            <w:noWrap w:val="0"/>
            <w:vAlign w:val="center"/>
          </w:tcPr>
          <w:p w14:paraId="23401B8D">
            <w:pPr>
              <w:keepNext w:val="0"/>
              <w:keepLines w:val="0"/>
              <w:widowControl/>
              <w:suppressLineNumbers w:val="0"/>
              <w:jc w:val="center"/>
              <w:textAlignment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0.012</w:t>
            </w:r>
          </w:p>
        </w:tc>
        <w:tc>
          <w:tcPr>
            <w:tcW w:w="221" w:type="pct"/>
            <w:tcBorders>
              <w:tl2br w:val="nil"/>
              <w:tr2bl w:val="nil"/>
            </w:tcBorders>
            <w:noWrap w:val="0"/>
            <w:vAlign w:val="center"/>
          </w:tcPr>
          <w:p w14:paraId="36EF2BC4">
            <w:pPr>
              <w:keepNext w:val="0"/>
              <w:keepLines w:val="0"/>
              <w:pageBreakBefore w:val="0"/>
              <w:widowControl/>
              <w:kinsoku/>
              <w:wordWrap/>
              <w:overflowPunct/>
              <w:topLinePunct w:val="0"/>
              <w:autoSpaceDE/>
              <w:autoSpaceDN/>
              <w:bidi w:val="0"/>
              <w:adjustRightInd/>
              <w:snapToGrid/>
              <w:spacing w:line="340" w:lineRule="atLeast"/>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285" w:type="pct"/>
            <w:tcBorders>
              <w:tl2br w:val="nil"/>
              <w:tr2bl w:val="nil"/>
            </w:tcBorders>
            <w:noWrap w:val="0"/>
            <w:vAlign w:val="center"/>
          </w:tcPr>
          <w:p w14:paraId="69BA58E3">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301" w:type="pct"/>
            <w:tcBorders>
              <w:tl2br w:val="nil"/>
              <w:tr2bl w:val="nil"/>
            </w:tcBorders>
            <w:noWrap w:val="0"/>
            <w:vAlign w:val="center"/>
          </w:tcPr>
          <w:p w14:paraId="4AFC9FA9">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283" w:type="pct"/>
            <w:tcBorders>
              <w:tl2br w:val="nil"/>
              <w:tr2bl w:val="nil"/>
            </w:tcBorders>
            <w:noWrap w:val="0"/>
            <w:vAlign w:val="center"/>
          </w:tcPr>
          <w:p w14:paraId="66678BE8">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w:t>
            </w:r>
          </w:p>
        </w:tc>
        <w:tc>
          <w:tcPr>
            <w:tcW w:w="143" w:type="pct"/>
            <w:vMerge w:val="continue"/>
            <w:tcBorders>
              <w:tl2br w:val="nil"/>
              <w:tr2bl w:val="nil"/>
            </w:tcBorders>
            <w:noWrap w:val="0"/>
            <w:vAlign w:val="center"/>
          </w:tcPr>
          <w:p w14:paraId="608BAF27">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rPr>
            </w:pPr>
          </w:p>
        </w:tc>
        <w:tc>
          <w:tcPr>
            <w:tcW w:w="215" w:type="pct"/>
            <w:tcBorders>
              <w:tl2br w:val="nil"/>
              <w:tr2bl w:val="nil"/>
            </w:tcBorders>
            <w:noWrap w:val="0"/>
            <w:vAlign w:val="center"/>
          </w:tcPr>
          <w:p w14:paraId="58F2A4B4">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厂区：8</w:t>
            </w:r>
          </w:p>
          <w:p w14:paraId="10C3EDA1">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厂界：2</w:t>
            </w:r>
          </w:p>
        </w:tc>
        <w:tc>
          <w:tcPr>
            <w:tcW w:w="141" w:type="pct"/>
            <w:tcBorders>
              <w:tl2br w:val="nil"/>
              <w:tr2bl w:val="nil"/>
            </w:tcBorders>
            <w:noWrap w:val="0"/>
            <w:vAlign w:val="center"/>
          </w:tcPr>
          <w:p w14:paraId="33340244">
            <w:pPr>
              <w:keepNext w:val="0"/>
              <w:keepLines w:val="0"/>
              <w:pageBreakBefore w:val="0"/>
              <w:widowControl/>
              <w:kinsoku/>
              <w:wordWrap/>
              <w:overflowPunct/>
              <w:topLinePunct w:val="0"/>
              <w:autoSpaceDE/>
              <w:autoSpaceDN/>
              <w:bidi w:val="0"/>
              <w:adjustRightInd/>
              <w:snapToGrid/>
              <w:spacing w:line="340" w:lineRule="atLeast"/>
              <w:jc w:val="center"/>
              <w:rPr>
                <w:rFonts w:hint="default" w:ascii="Times New Roman" w:hAnsi="Times New Roman" w:cs="Times New Roman"/>
                <w:b/>
                <w:bCs/>
                <w:color w:val="auto"/>
                <w:sz w:val="20"/>
                <w:szCs w:val="20"/>
                <w:highlight w:val="none"/>
                <w:lang w:val="en-US"/>
              </w:rPr>
            </w:pPr>
            <w:r>
              <w:rPr>
                <w:rFonts w:hint="default" w:ascii="Times New Roman" w:hAnsi="Times New Roman" w:cs="Times New Roman"/>
                <w:color w:val="auto"/>
                <w:sz w:val="20"/>
                <w:szCs w:val="20"/>
                <w:highlight w:val="none"/>
                <w:lang w:val="en-US" w:eastAsia="zh-CN"/>
              </w:rPr>
              <w:t>/</w:t>
            </w:r>
          </w:p>
        </w:tc>
      </w:tr>
    </w:tbl>
    <w:p w14:paraId="7E544FA2">
      <w:pPr>
        <w:rPr>
          <w:highlight w:val="none"/>
        </w:rPr>
        <w:sectPr>
          <w:pgSz w:w="16840" w:h="11907" w:orient="landscape"/>
          <w:pgMar w:top="1448" w:right="1431" w:bottom="1449" w:left="959" w:header="0" w:footer="692" w:gutter="0"/>
          <w:pgBorders>
            <w:top w:val="none" w:sz="0" w:space="0"/>
            <w:left w:val="none" w:sz="0" w:space="0"/>
            <w:bottom w:val="none" w:sz="0" w:space="0"/>
            <w:right w:val="none" w:sz="0" w:space="0"/>
          </w:pgBorders>
          <w:pgNumType w:fmt="decimal"/>
          <w:cols w:space="720" w:num="1"/>
        </w:sectPr>
      </w:pPr>
    </w:p>
    <w:tbl>
      <w:tblPr>
        <w:tblStyle w:val="21"/>
        <w:tblW w:w="8912"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8168"/>
      </w:tblGrid>
      <w:tr w14:paraId="39A6E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1" w:hRule="atLeast"/>
        </w:trPr>
        <w:tc>
          <w:tcPr>
            <w:tcW w:w="744" w:type="dxa"/>
            <w:tcBorders>
              <w:left w:val="single" w:color="000000" w:sz="6" w:space="0"/>
            </w:tcBorders>
            <w:vAlign w:val="center"/>
          </w:tcPr>
          <w:p w14:paraId="04400364">
            <w:pPr>
              <w:spacing w:before="65" w:line="271" w:lineRule="exact"/>
              <w:ind w:left="164"/>
              <w:rPr>
                <w:rFonts w:ascii="宋体" w:hAnsi="宋体" w:eastAsia="宋体" w:cs="宋体"/>
                <w:sz w:val="20"/>
                <w:szCs w:val="20"/>
                <w:highlight w:val="none"/>
              </w:rPr>
            </w:pPr>
            <w:r>
              <w:rPr>
                <w:rFonts w:ascii="宋体" w:hAnsi="宋体" w:eastAsia="宋体" w:cs="宋体"/>
                <w:spacing w:val="5"/>
                <w:position w:val="4"/>
                <w:sz w:val="20"/>
                <w:szCs w:val="20"/>
                <w:highlight w:val="none"/>
              </w:rPr>
              <w:t>运</w:t>
            </w:r>
            <w:r>
              <w:rPr>
                <w:rFonts w:ascii="宋体" w:hAnsi="宋体" w:eastAsia="宋体" w:cs="宋体"/>
                <w:spacing w:val="4"/>
                <w:position w:val="4"/>
                <w:sz w:val="20"/>
                <w:szCs w:val="20"/>
                <w:highlight w:val="none"/>
              </w:rPr>
              <w:t>营</w:t>
            </w:r>
          </w:p>
          <w:p w14:paraId="68D93D3B">
            <w:pPr>
              <w:spacing w:line="229" w:lineRule="auto"/>
              <w:ind w:left="167"/>
              <w:rPr>
                <w:rFonts w:ascii="宋体" w:hAnsi="宋体" w:eastAsia="宋体" w:cs="宋体"/>
                <w:sz w:val="20"/>
                <w:szCs w:val="20"/>
                <w:highlight w:val="none"/>
              </w:rPr>
            </w:pPr>
            <w:r>
              <w:rPr>
                <w:rFonts w:ascii="宋体" w:hAnsi="宋体" w:eastAsia="宋体" w:cs="宋体"/>
                <w:spacing w:val="4"/>
                <w:sz w:val="20"/>
                <w:szCs w:val="20"/>
                <w:highlight w:val="none"/>
              </w:rPr>
              <w:t>期</w:t>
            </w:r>
            <w:r>
              <w:rPr>
                <w:rFonts w:ascii="宋体" w:hAnsi="宋体" w:eastAsia="宋体" w:cs="宋体"/>
                <w:spacing w:val="3"/>
                <w:sz w:val="20"/>
                <w:szCs w:val="20"/>
                <w:highlight w:val="none"/>
              </w:rPr>
              <w:t>环</w:t>
            </w:r>
          </w:p>
          <w:p w14:paraId="723EF88A">
            <w:pPr>
              <w:spacing w:before="23" w:line="229" w:lineRule="auto"/>
              <w:ind w:left="165"/>
              <w:rPr>
                <w:rFonts w:ascii="宋体" w:hAnsi="宋体" w:eastAsia="宋体" w:cs="宋体"/>
                <w:sz w:val="20"/>
                <w:szCs w:val="20"/>
                <w:highlight w:val="none"/>
              </w:rPr>
            </w:pPr>
            <w:r>
              <w:rPr>
                <w:rFonts w:ascii="宋体" w:hAnsi="宋体" w:eastAsia="宋体" w:cs="宋体"/>
                <w:spacing w:val="4"/>
                <w:sz w:val="20"/>
                <w:szCs w:val="20"/>
                <w:highlight w:val="none"/>
              </w:rPr>
              <w:t>境影</w:t>
            </w:r>
          </w:p>
          <w:p w14:paraId="354F78FB">
            <w:pPr>
              <w:spacing w:before="25" w:line="231" w:lineRule="auto"/>
              <w:ind w:left="175"/>
              <w:rPr>
                <w:rFonts w:ascii="宋体" w:hAnsi="宋体" w:eastAsia="宋体" w:cs="宋体"/>
                <w:sz w:val="20"/>
                <w:szCs w:val="20"/>
                <w:highlight w:val="none"/>
              </w:rPr>
            </w:pPr>
            <w:r>
              <w:rPr>
                <w:rFonts w:ascii="宋体" w:hAnsi="宋体" w:eastAsia="宋体" w:cs="宋体"/>
                <w:spacing w:val="-1"/>
                <w:sz w:val="20"/>
                <w:szCs w:val="20"/>
                <w:highlight w:val="none"/>
              </w:rPr>
              <w:t>响和</w:t>
            </w:r>
          </w:p>
          <w:p w14:paraId="67823D13">
            <w:pPr>
              <w:spacing w:before="23" w:line="229" w:lineRule="auto"/>
              <w:ind w:left="165"/>
              <w:rPr>
                <w:rFonts w:ascii="宋体" w:hAnsi="宋体" w:eastAsia="宋体" w:cs="宋体"/>
                <w:sz w:val="20"/>
                <w:szCs w:val="20"/>
                <w:highlight w:val="none"/>
              </w:rPr>
            </w:pPr>
            <w:r>
              <w:rPr>
                <w:rFonts w:ascii="宋体" w:hAnsi="宋体" w:eastAsia="宋体" w:cs="宋体"/>
                <w:spacing w:val="4"/>
                <w:sz w:val="20"/>
                <w:szCs w:val="20"/>
                <w:highlight w:val="none"/>
              </w:rPr>
              <w:t>保护</w:t>
            </w:r>
          </w:p>
          <w:p w14:paraId="763F3978">
            <w:pPr>
              <w:spacing w:before="23" w:line="229" w:lineRule="auto"/>
              <w:ind w:left="164"/>
              <w:rPr>
                <w:rFonts w:ascii="宋体" w:hAnsi="宋体" w:eastAsia="宋体" w:cs="宋体"/>
                <w:sz w:val="20"/>
                <w:szCs w:val="20"/>
                <w:highlight w:val="none"/>
              </w:rPr>
            </w:pPr>
            <w:r>
              <w:rPr>
                <w:rFonts w:ascii="宋体" w:hAnsi="宋体" w:eastAsia="宋体" w:cs="宋体"/>
                <w:spacing w:val="5"/>
                <w:sz w:val="20"/>
                <w:szCs w:val="20"/>
                <w:highlight w:val="none"/>
              </w:rPr>
              <w:t>措</w:t>
            </w:r>
            <w:r>
              <w:rPr>
                <w:rFonts w:ascii="宋体" w:hAnsi="宋体" w:eastAsia="宋体" w:cs="宋体"/>
                <w:spacing w:val="4"/>
                <w:sz w:val="20"/>
                <w:szCs w:val="20"/>
                <w:highlight w:val="none"/>
              </w:rPr>
              <w:t>施</w:t>
            </w:r>
          </w:p>
        </w:tc>
        <w:tc>
          <w:tcPr>
            <w:tcW w:w="8168" w:type="dxa"/>
            <w:tcBorders>
              <w:right w:val="single" w:color="000000" w:sz="6" w:space="0"/>
            </w:tcBorders>
            <w:vAlign w:val="top"/>
          </w:tcPr>
          <w:p w14:paraId="5A2598DD">
            <w:pPr>
              <w:pStyle w:val="37"/>
              <w:spacing w:before="177" w:line="220" w:lineRule="auto"/>
              <w:ind w:left="3"/>
              <w:rPr>
                <w:rFonts w:hint="default" w:ascii="Times New Roman" w:hAnsi="Times New Roman" w:cs="Times New Roman"/>
                <w:highlight w:val="none"/>
              </w:rPr>
            </w:pPr>
            <w:r>
              <w:rPr>
                <w:rFonts w:hint="default" w:ascii="Times New Roman" w:hAnsi="Times New Roman" w:eastAsia="Times New Roman" w:cs="Times New Roman"/>
                <w:b/>
                <w:bCs/>
                <w:spacing w:val="-2"/>
                <w:highlight w:val="none"/>
              </w:rPr>
              <w:t>4.2.2</w:t>
            </w:r>
            <w:r>
              <w:rPr>
                <w:rFonts w:hint="default" w:ascii="Times New Roman" w:hAnsi="Times New Roman" w:eastAsia="宋体" w:cs="Times New Roman"/>
                <w:b/>
                <w:bCs/>
                <w:spacing w:val="-2"/>
                <w:highlight w:val="none"/>
                <w:lang w:val="en-US" w:eastAsia="zh-CN"/>
              </w:rPr>
              <w:t xml:space="preserve"> </w:t>
            </w:r>
            <w:r>
              <w:rPr>
                <w:rFonts w:hint="default" w:ascii="Times New Roman" w:hAnsi="Times New Roman" w:cs="Times New Roman"/>
                <w:b/>
                <w:bCs/>
                <w:spacing w:val="-2"/>
                <w:highlight w:val="none"/>
              </w:rPr>
              <w:t>废气影响分析</w:t>
            </w:r>
          </w:p>
          <w:p w14:paraId="0E78C5B9">
            <w:pPr>
              <w:pStyle w:val="38"/>
              <w:spacing w:line="360" w:lineRule="auto"/>
              <w:ind w:firstLine="480" w:firstLineChars="200"/>
            </w:pPr>
            <w:r>
              <w:rPr>
                <w:rFonts w:hint="default" w:ascii="Times New Roman" w:hAnsi="Times New Roman" w:cs="Times New Roman"/>
                <w:color w:val="000000"/>
                <w:szCs w:val="22"/>
                <w:highlight w:val="none"/>
                <w:lang w:val="en-US" w:eastAsia="zh-CN"/>
              </w:rPr>
              <w:t>根据源强核算分析可知：本项目运营后非甲烷总烃排放浓度、排放速率均能满足《印刷行业挥发性有机物排放标准》</w:t>
            </w:r>
            <w:r>
              <w:rPr>
                <w:rFonts w:hint="eastAsia" w:ascii="Times New Roman" w:hAnsi="Times New Roman" w:cs="Times New Roman"/>
                <w:color w:val="000000"/>
                <w:szCs w:val="22"/>
                <w:highlight w:val="none"/>
                <w:lang w:val="en-US" w:eastAsia="zh-CN"/>
              </w:rPr>
              <w:t>（</w:t>
            </w:r>
            <w:r>
              <w:rPr>
                <w:rFonts w:hint="default" w:ascii="Times New Roman" w:hAnsi="Times New Roman" w:cs="Times New Roman"/>
                <w:color w:val="000000"/>
                <w:szCs w:val="22"/>
                <w:highlight w:val="none"/>
                <w:lang w:val="en-US" w:eastAsia="zh-CN"/>
              </w:rPr>
              <w:t>DB 35/1784-2018</w:t>
            </w:r>
            <w:r>
              <w:rPr>
                <w:rFonts w:hint="eastAsia" w:ascii="Times New Roman" w:hAnsi="Times New Roman" w:cs="Times New Roman"/>
                <w:color w:val="000000"/>
                <w:szCs w:val="22"/>
                <w:highlight w:val="none"/>
                <w:lang w:val="en-US" w:eastAsia="zh-CN"/>
              </w:rPr>
              <w:t>）</w:t>
            </w:r>
            <w:r>
              <w:rPr>
                <w:rFonts w:hint="default" w:ascii="Times New Roman" w:hAnsi="Times New Roman" w:cs="Times New Roman"/>
                <w:color w:val="000000"/>
                <w:szCs w:val="22"/>
                <w:highlight w:val="none"/>
                <w:lang w:val="en-US" w:eastAsia="zh-CN"/>
              </w:rPr>
              <w:t>标准限值。</w:t>
            </w:r>
            <w:r>
              <w:rPr>
                <w:rFonts w:hint="eastAsia" w:ascii="Times New Roman" w:hAnsi="Times New Roman" w:cs="Times New Roman"/>
                <w:color w:val="000000"/>
                <w:szCs w:val="22"/>
                <w:highlight w:val="none"/>
                <w:lang w:val="en-US" w:eastAsia="zh-CN"/>
              </w:rPr>
              <w:t>因此</w:t>
            </w:r>
            <w:r>
              <w:rPr>
                <w:rFonts w:hint="default" w:ascii="Times New Roman" w:hAnsi="Times New Roman" w:cs="Times New Roman"/>
                <w:color w:val="000000"/>
                <w:szCs w:val="22"/>
                <w:highlight w:val="none"/>
                <w:lang w:val="en-US" w:eastAsia="zh-CN"/>
              </w:rPr>
              <w:t>，</w:t>
            </w:r>
            <w:r>
              <w:rPr>
                <w:rFonts w:hint="eastAsia" w:ascii="Times New Roman" w:hAnsi="Times New Roman" w:cs="Times New Roman"/>
                <w:color w:val="000000"/>
                <w:szCs w:val="22"/>
                <w:highlight w:val="none"/>
                <w:lang w:val="en-US" w:eastAsia="zh-CN"/>
              </w:rPr>
              <w:t>本项目认为</w:t>
            </w:r>
            <w:r>
              <w:rPr>
                <w:rFonts w:hint="default" w:ascii="Times New Roman" w:hAnsi="Times New Roman" w:cs="Times New Roman"/>
                <w:color w:val="000000"/>
                <w:szCs w:val="22"/>
                <w:highlight w:val="none"/>
                <w:lang w:val="en-US" w:eastAsia="zh-CN"/>
              </w:rPr>
              <w:t>产生的废气经处理达标后对周边环境及敏感点影响不大。</w:t>
            </w:r>
          </w:p>
          <w:p w14:paraId="00ADB9FE">
            <w:pPr>
              <w:pStyle w:val="38"/>
              <w:spacing w:line="360" w:lineRule="auto"/>
              <w:ind w:firstLine="480" w:firstLineChars="200"/>
              <w:rPr>
                <w:rFonts w:hint="eastAsia" w:ascii="Times New Roman" w:hAnsi="Times New Roman" w:cs="Times New Roman"/>
                <w:color w:val="000000"/>
                <w:szCs w:val="22"/>
                <w:highlight w:val="none"/>
                <w:lang w:eastAsia="zh-CN"/>
              </w:rPr>
            </w:pPr>
            <w:r>
              <w:rPr>
                <w:rFonts w:hint="eastAsia" w:ascii="Times New Roman" w:hAnsi="Times New Roman" w:cs="Times New Roman"/>
                <w:color w:val="000000"/>
                <w:szCs w:val="22"/>
                <w:highlight w:val="none"/>
                <w:lang w:eastAsia="zh-CN"/>
              </w:rPr>
              <w:t>（</w:t>
            </w:r>
            <w:r>
              <w:rPr>
                <w:rFonts w:hint="eastAsia" w:ascii="Times New Roman" w:hAnsi="Times New Roman" w:cs="Times New Roman"/>
                <w:color w:val="000000"/>
                <w:szCs w:val="22"/>
                <w:highlight w:val="none"/>
                <w:lang w:val="en-US" w:eastAsia="zh-CN"/>
              </w:rPr>
              <w:t>1</w:t>
            </w:r>
            <w:r>
              <w:rPr>
                <w:rFonts w:hint="eastAsia" w:ascii="Times New Roman" w:hAnsi="Times New Roman" w:cs="Times New Roman"/>
                <w:color w:val="000000"/>
                <w:szCs w:val="22"/>
                <w:highlight w:val="none"/>
                <w:lang w:eastAsia="zh-CN"/>
              </w:rPr>
              <w:t>）大气防护距离分析</w:t>
            </w:r>
          </w:p>
          <w:p w14:paraId="29081489">
            <w:pPr>
              <w:pStyle w:val="38"/>
              <w:spacing w:line="360" w:lineRule="auto"/>
              <w:ind w:firstLine="480" w:firstLineChars="200"/>
              <w:rPr>
                <w:rFonts w:hint="eastAsia" w:ascii="Times New Roman" w:hAnsi="Times New Roman" w:cs="Times New Roman"/>
                <w:color w:val="000000"/>
                <w:szCs w:val="22"/>
                <w:highlight w:val="none"/>
                <w:lang w:eastAsia="zh-CN"/>
              </w:rPr>
            </w:pPr>
            <w:r>
              <w:rPr>
                <w:rFonts w:hint="eastAsia" w:ascii="Times New Roman" w:hAnsi="Times New Roman" w:cs="Times New Roman"/>
                <w:color w:val="000000"/>
                <w:szCs w:val="22"/>
                <w:highlight w:val="none"/>
                <w:lang w:eastAsia="zh-CN"/>
              </w:rPr>
              <w:t>根据《建设项目环境影响报告表编制技术指南（污染影响类）（试行）》（环办环评〔2020〕33号）要求可知，目前不对项目大气环境防护距离及卫生防护距离进行要求。根据环境影响评价网（生态环境部环境工程评估中心）关于《建设项目环境影响报告表》内容、格式及编制技术指南常见问题解答：“《建设项目环境影响评价技术导则总纲》（HJ2.1-2016）未对卫生防护距离提出评价要求，建设项目环境影响报告表编制技术指南（以下简称技术指南）不作要求。对于判定为需要开展大气专项评价的建设项目，根据《环境影响评价技术导则大气环境》（HJ2.2-2018）需要计算大气环境防护距离的，应按要求计算”。本项目不涉及大气专项评价，因此，在企业落实有效的废气收集、处理措施的前提下，可不设置大气环境防护距离。</w:t>
            </w:r>
          </w:p>
          <w:p w14:paraId="3AA08924">
            <w:pPr>
              <w:pStyle w:val="38"/>
              <w:spacing w:line="360" w:lineRule="auto"/>
              <w:ind w:firstLine="480" w:firstLineChars="200"/>
              <w:rPr>
                <w:rFonts w:hint="default" w:ascii="Times New Roman" w:hAnsi="Times New Roman" w:cs="Times New Roman"/>
                <w:color w:val="000000"/>
                <w:szCs w:val="22"/>
                <w:highlight w:val="none"/>
                <w:lang w:val="en-US" w:eastAsia="zh-CN"/>
              </w:rPr>
            </w:pPr>
            <w:r>
              <w:rPr>
                <w:rFonts w:hint="eastAsia" w:ascii="Times New Roman" w:hAnsi="Times New Roman" w:cs="Times New Roman"/>
                <w:color w:val="000000"/>
                <w:szCs w:val="22"/>
                <w:highlight w:val="none"/>
                <w:lang w:eastAsia="zh-CN"/>
              </w:rPr>
              <w:t>（</w:t>
            </w:r>
            <w:r>
              <w:rPr>
                <w:rFonts w:hint="eastAsia" w:ascii="Times New Roman" w:hAnsi="Times New Roman" w:cs="Times New Roman"/>
                <w:color w:val="000000"/>
                <w:szCs w:val="22"/>
                <w:highlight w:val="none"/>
                <w:lang w:val="en-US" w:eastAsia="zh-CN"/>
              </w:rPr>
              <w:t>2</w:t>
            </w:r>
            <w:r>
              <w:rPr>
                <w:rFonts w:hint="eastAsia" w:ascii="Times New Roman" w:hAnsi="Times New Roman" w:cs="Times New Roman"/>
                <w:color w:val="000000"/>
                <w:szCs w:val="22"/>
                <w:highlight w:val="none"/>
                <w:lang w:eastAsia="zh-CN"/>
              </w:rPr>
              <w:t>）</w:t>
            </w:r>
            <w:r>
              <w:rPr>
                <w:rFonts w:hint="eastAsia" w:ascii="Times New Roman" w:hAnsi="Times New Roman" w:cs="Times New Roman"/>
                <w:color w:val="000000"/>
                <w:szCs w:val="22"/>
                <w:highlight w:val="none"/>
                <w:lang w:val="en-US" w:eastAsia="zh-CN"/>
              </w:rPr>
              <w:t>对厂区周边居民区影响分析</w:t>
            </w:r>
          </w:p>
          <w:p w14:paraId="4B9DDA88">
            <w:pPr>
              <w:pStyle w:val="38"/>
              <w:spacing w:line="360" w:lineRule="auto"/>
              <w:ind w:firstLine="480" w:firstLineChars="200"/>
              <w:jc w:val="left"/>
              <w:rPr>
                <w:rFonts w:hint="default" w:ascii="Times New Roman" w:hAnsi="Times New Roman" w:cs="Times New Roman"/>
                <w:color w:val="000000"/>
                <w:szCs w:val="22"/>
                <w:highlight w:val="none"/>
                <w:lang w:val="en-US" w:eastAsia="zh-CN"/>
              </w:rPr>
            </w:pPr>
            <w:r>
              <w:rPr>
                <w:rFonts w:hint="eastAsia" w:ascii="Times New Roman" w:hAnsi="Times New Roman" w:cs="Times New Roman"/>
                <w:color w:val="000000"/>
                <w:szCs w:val="22"/>
                <w:highlight w:val="none"/>
                <w:lang w:val="en-US" w:eastAsia="zh-CN"/>
              </w:rPr>
              <w:t>项目</w:t>
            </w:r>
            <w:r>
              <w:rPr>
                <w:rFonts w:hint="eastAsia" w:ascii="Times New Roman" w:hAnsi="Times New Roman" w:cs="Times New Roman"/>
                <w:color w:val="000000"/>
                <w:szCs w:val="22"/>
                <w:highlight w:val="none"/>
                <w:lang w:eastAsia="zh-CN"/>
              </w:rPr>
              <w:t>区域</w:t>
            </w:r>
            <w:r>
              <w:rPr>
                <w:rFonts w:hint="eastAsia" w:ascii="Times New Roman" w:hAnsi="Times New Roman" w:cs="Times New Roman"/>
                <w:color w:val="000000"/>
                <w:szCs w:val="22"/>
                <w:highlight w:val="none"/>
                <w:lang w:val="en-US" w:eastAsia="zh-CN"/>
              </w:rPr>
              <w:t>大气</w:t>
            </w:r>
            <w:r>
              <w:rPr>
                <w:rFonts w:hint="eastAsia" w:ascii="Times New Roman" w:hAnsi="Times New Roman" w:cs="Times New Roman"/>
                <w:color w:val="000000"/>
                <w:szCs w:val="22"/>
                <w:highlight w:val="none"/>
                <w:lang w:eastAsia="zh-CN"/>
              </w:rPr>
              <w:t>环境质量良好，周边主要为工业企业，</w:t>
            </w:r>
            <w:r>
              <w:rPr>
                <w:rFonts w:hint="eastAsia" w:ascii="Times New Roman" w:hAnsi="Times New Roman" w:cs="Times New Roman"/>
                <w:color w:val="000000"/>
                <w:szCs w:val="22"/>
                <w:highlight w:val="none"/>
                <w:lang w:val="en-US" w:eastAsia="zh-CN"/>
              </w:rPr>
              <w:t>且仅有29号B栋厂房在生产过程中存在非甲烷总烃废气，厂区周边只有少量居民分布，最近的敏感点位于29号B栋厂房主导风向上风向约180米处。在严格落实废气治理措施、确保污染物达标排放的情况下，可降低废气对周边居住区的影响。结合现状监测数据与预测分析，各污染物短期浓度和长期平均浓度均低于环境质量标准限值，项目运行对周边居民区的环境影响较小。</w:t>
            </w:r>
          </w:p>
          <w:p w14:paraId="0DA33830">
            <w:pPr>
              <w:pStyle w:val="37"/>
              <w:spacing w:before="177" w:line="360" w:lineRule="auto"/>
              <w:ind w:left="3"/>
              <w:rPr>
                <w:rFonts w:hint="default" w:ascii="Times New Roman" w:hAnsi="Times New Roman" w:cs="Times New Roman"/>
                <w:b/>
                <w:bCs/>
                <w:spacing w:val="-2"/>
                <w:highlight w:val="none"/>
                <w:lang w:val="en-US" w:eastAsia="zh-CN"/>
              </w:rPr>
            </w:pPr>
            <w:r>
              <w:rPr>
                <w:rFonts w:hint="default" w:ascii="Times New Roman" w:hAnsi="Times New Roman" w:cs="Times New Roman"/>
                <w:b/>
                <w:bCs/>
                <w:spacing w:val="-2"/>
                <w:highlight w:val="none"/>
                <w:lang w:val="en-US" w:eastAsia="zh-CN"/>
              </w:rPr>
              <w:t>4.2.3 废气治理措施</w:t>
            </w:r>
          </w:p>
          <w:p w14:paraId="4078A65A">
            <w:pPr>
              <w:pStyle w:val="37"/>
              <w:spacing w:before="177" w:line="360" w:lineRule="auto"/>
              <w:ind w:left="3"/>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b/>
                <w:bCs/>
                <w:spacing w:val="-2"/>
                <w:highlight w:val="none"/>
                <w:lang w:val="en-US" w:eastAsia="zh-CN"/>
              </w:rPr>
              <w:t>4.2.3.1 有组织废气治理措施可行性分析</w:t>
            </w:r>
          </w:p>
          <w:p w14:paraId="02E8F0D1">
            <w:pPr>
              <w:pStyle w:val="12"/>
              <w:pBdr>
                <w:bottom w:val="none" w:color="auto" w:sz="0" w:space="0"/>
              </w:pBdr>
              <w:spacing w:line="360" w:lineRule="auto"/>
              <w:ind w:firstLine="480" w:firstLineChars="200"/>
              <w:jc w:val="left"/>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（1）项目废气收集参数确定</w:t>
            </w:r>
          </w:p>
          <w:p w14:paraId="022B7CE4">
            <w:pPr>
              <w:pStyle w:val="38"/>
              <w:spacing w:before="120" w:beforeLines="50" w:line="360" w:lineRule="auto"/>
              <w:ind w:firstLine="480" w:firstLineChars="200"/>
              <w:rPr>
                <w:rFonts w:hint="default" w:ascii="Times New Roman" w:hAnsi="Times New Roman" w:cs="Times New Roman"/>
                <w:color w:val="000000"/>
                <w:szCs w:val="22"/>
                <w:highlight w:val="none"/>
              </w:rPr>
            </w:pPr>
            <w:r>
              <w:rPr>
                <w:rFonts w:hint="default" w:ascii="Times New Roman" w:hAnsi="Times New Roman" w:cs="Times New Roman"/>
                <w:color w:val="000000"/>
                <w:szCs w:val="22"/>
                <w:highlight w:val="none"/>
              </w:rPr>
              <w:t>风量计算方法根据《大气污染控制工程》中的控制风速法计算。计算公式如下：</w:t>
            </w:r>
          </w:p>
          <w:p w14:paraId="4715CDA0">
            <w:pPr>
              <w:pStyle w:val="38"/>
              <w:spacing w:line="360" w:lineRule="auto"/>
              <w:ind w:left="0" w:leftChars="0" w:firstLine="0" w:firstLineChars="0"/>
              <w:jc w:val="center"/>
              <w:rPr>
                <w:rFonts w:hint="eastAsia" w:ascii="Times New Roman" w:hAnsi="Times New Roman" w:eastAsia="宋体" w:cs="Times New Roman"/>
                <w:color w:val="000000"/>
                <w:szCs w:val="22"/>
                <w:highlight w:val="none"/>
                <w:lang w:eastAsia="zh-CN"/>
              </w:rPr>
            </w:pPr>
            <w:r>
              <w:rPr>
                <w:rFonts w:hint="default" w:ascii="Times New Roman" w:hAnsi="Times New Roman" w:cs="Times New Roman"/>
                <w:color w:val="000000"/>
                <w:position w:val="-10"/>
                <w:szCs w:val="22"/>
                <w:highlight w:val="none"/>
              </w:rPr>
              <w:object>
                <v:shape id="_x0000_i1025" o:spt="75" type="#_x0000_t75" style="height:16pt;width:126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14:paraId="37565DDB">
            <w:pPr>
              <w:pStyle w:val="38"/>
              <w:spacing w:line="360" w:lineRule="auto"/>
              <w:ind w:firstLine="480" w:firstLineChars="200"/>
              <w:rPr>
                <w:rFonts w:hint="default" w:ascii="Times New Roman" w:hAnsi="Times New Roman" w:cs="Times New Roman"/>
                <w:color w:val="000000"/>
                <w:szCs w:val="22"/>
                <w:highlight w:val="none"/>
              </w:rPr>
            </w:pPr>
            <w:r>
              <w:rPr>
                <w:rFonts w:hint="default" w:ascii="Times New Roman" w:hAnsi="Times New Roman" w:cs="Times New Roman"/>
                <w:color w:val="000000"/>
                <w:szCs w:val="22"/>
                <w:highlight w:val="none"/>
              </w:rPr>
              <w:t>其中，</w:t>
            </w:r>
            <w:r>
              <w:rPr>
                <w:rFonts w:hint="default" w:ascii="Times New Roman" w:hAnsi="Times New Roman" w:cs="Times New Roman"/>
                <w:i/>
                <w:iCs/>
                <w:color w:val="000000"/>
                <w:szCs w:val="22"/>
                <w:highlight w:val="none"/>
              </w:rPr>
              <w:t>Q</w:t>
            </w:r>
            <w:r>
              <w:rPr>
                <w:rFonts w:hint="eastAsia" w:ascii="Times New Roman" w:hAnsi="Times New Roman" w:cs="Times New Roman"/>
                <w:color w:val="000000"/>
                <w:szCs w:val="22"/>
                <w:highlight w:val="none"/>
                <w:lang w:eastAsia="zh-CN"/>
              </w:rPr>
              <w:t>——</w:t>
            </w:r>
            <w:r>
              <w:rPr>
                <w:rFonts w:hint="default" w:ascii="Times New Roman" w:hAnsi="Times New Roman" w:cs="Times New Roman"/>
                <w:color w:val="000000"/>
                <w:szCs w:val="22"/>
                <w:highlight w:val="none"/>
              </w:rPr>
              <w:t>风量，m</w:t>
            </w:r>
            <w:r>
              <w:rPr>
                <w:rFonts w:hint="eastAsia" w:ascii="Times New Roman" w:hAnsi="Times New Roman" w:cs="Times New Roman"/>
                <w:color w:val="000000"/>
                <w:szCs w:val="22"/>
                <w:highlight w:val="none"/>
                <w:vertAlign w:val="superscript"/>
                <w:lang w:val="en-US" w:eastAsia="zh-CN"/>
              </w:rPr>
              <w:t>3</w:t>
            </w:r>
            <w:r>
              <w:rPr>
                <w:rFonts w:hint="default" w:ascii="Times New Roman" w:hAnsi="Times New Roman" w:cs="Times New Roman"/>
                <w:color w:val="000000"/>
                <w:szCs w:val="22"/>
                <w:highlight w:val="none"/>
              </w:rPr>
              <w:t>/h；</w:t>
            </w:r>
          </w:p>
          <w:p w14:paraId="06452A25">
            <w:pPr>
              <w:pStyle w:val="38"/>
              <w:spacing w:line="360" w:lineRule="auto"/>
              <w:ind w:firstLine="1200" w:firstLineChars="500"/>
              <w:rPr>
                <w:rFonts w:hint="default" w:ascii="Times New Roman" w:hAnsi="Times New Roman" w:cs="Times New Roman"/>
                <w:color w:val="000000"/>
                <w:szCs w:val="22"/>
                <w:highlight w:val="none"/>
              </w:rPr>
            </w:pPr>
            <w:r>
              <w:rPr>
                <w:rFonts w:hint="default" w:ascii="Times New Roman" w:hAnsi="Times New Roman" w:cs="Times New Roman"/>
                <w:i/>
                <w:iCs/>
                <w:color w:val="000000"/>
                <w:szCs w:val="22"/>
                <w:highlight w:val="none"/>
              </w:rPr>
              <w:t>K</w:t>
            </w:r>
            <w:r>
              <w:rPr>
                <w:rFonts w:hint="eastAsia" w:ascii="Times New Roman" w:hAnsi="Times New Roman" w:cs="Times New Roman"/>
                <w:color w:val="000000"/>
                <w:szCs w:val="22"/>
                <w:highlight w:val="none"/>
                <w:lang w:eastAsia="zh-CN"/>
              </w:rPr>
              <w:t>——</w:t>
            </w:r>
            <w:r>
              <w:rPr>
                <w:rFonts w:hint="default" w:ascii="Times New Roman" w:hAnsi="Times New Roman" w:cs="Times New Roman"/>
                <w:color w:val="000000"/>
                <w:szCs w:val="22"/>
                <w:highlight w:val="none"/>
              </w:rPr>
              <w:t>考虑沿高度速度不均匀的安全系数，通常取1.4；</w:t>
            </w:r>
          </w:p>
          <w:p w14:paraId="116662A7">
            <w:pPr>
              <w:pStyle w:val="38"/>
              <w:spacing w:line="360" w:lineRule="auto"/>
              <w:ind w:firstLine="1200" w:firstLineChars="500"/>
              <w:rPr>
                <w:rFonts w:hint="default" w:ascii="Times New Roman" w:hAnsi="Times New Roman" w:cs="Times New Roman"/>
                <w:color w:val="000000"/>
                <w:szCs w:val="22"/>
                <w:highlight w:val="none"/>
              </w:rPr>
            </w:pPr>
            <w:r>
              <w:rPr>
                <w:rFonts w:hint="default" w:ascii="Times New Roman" w:hAnsi="Times New Roman" w:cs="Times New Roman"/>
                <w:i/>
                <w:iCs/>
                <w:color w:val="000000"/>
                <w:szCs w:val="22"/>
                <w:highlight w:val="none"/>
              </w:rPr>
              <w:t>P</w:t>
            </w:r>
            <w:r>
              <w:rPr>
                <w:rFonts w:hint="eastAsia" w:ascii="Times New Roman" w:hAnsi="Times New Roman" w:cs="Times New Roman"/>
                <w:color w:val="000000"/>
                <w:szCs w:val="22"/>
                <w:highlight w:val="none"/>
                <w:lang w:eastAsia="zh-CN"/>
              </w:rPr>
              <w:t>——</w:t>
            </w:r>
            <w:r>
              <w:rPr>
                <w:rFonts w:hint="default" w:ascii="Times New Roman" w:hAnsi="Times New Roman" w:cs="Times New Roman"/>
                <w:color w:val="000000"/>
                <w:szCs w:val="22"/>
                <w:highlight w:val="none"/>
              </w:rPr>
              <w:t>集气罩罩口周长，m；</w:t>
            </w:r>
          </w:p>
          <w:p w14:paraId="34784596">
            <w:pPr>
              <w:pStyle w:val="38"/>
              <w:spacing w:line="360" w:lineRule="auto"/>
              <w:ind w:firstLine="1200" w:firstLineChars="500"/>
              <w:rPr>
                <w:rFonts w:hint="default" w:ascii="Times New Roman" w:hAnsi="Times New Roman" w:cs="Times New Roman"/>
                <w:color w:val="000000"/>
                <w:szCs w:val="22"/>
                <w:highlight w:val="none"/>
              </w:rPr>
            </w:pPr>
            <w:r>
              <w:rPr>
                <w:rFonts w:hint="default" w:ascii="Times New Roman" w:hAnsi="Times New Roman" w:cs="Times New Roman"/>
                <w:i/>
                <w:iCs/>
                <w:color w:val="000000"/>
                <w:szCs w:val="22"/>
                <w:highlight w:val="none"/>
              </w:rPr>
              <w:t>H</w:t>
            </w:r>
            <w:r>
              <w:rPr>
                <w:rFonts w:hint="eastAsia" w:ascii="Times New Roman" w:hAnsi="Times New Roman" w:cs="Times New Roman"/>
                <w:color w:val="000000"/>
                <w:szCs w:val="22"/>
                <w:highlight w:val="none"/>
                <w:lang w:eastAsia="zh-CN"/>
              </w:rPr>
              <w:t>——</w:t>
            </w:r>
            <w:r>
              <w:rPr>
                <w:rFonts w:hint="default" w:ascii="Times New Roman" w:hAnsi="Times New Roman" w:cs="Times New Roman"/>
                <w:color w:val="000000"/>
                <w:szCs w:val="22"/>
                <w:highlight w:val="none"/>
              </w:rPr>
              <w:t>集气罩罩口至污染源的距离m；</w:t>
            </w:r>
          </w:p>
          <w:p w14:paraId="4F39CC78">
            <w:pPr>
              <w:pStyle w:val="38"/>
              <w:spacing w:line="360" w:lineRule="auto"/>
              <w:ind w:firstLine="1200" w:firstLineChars="500"/>
              <w:rPr>
                <w:rFonts w:hint="default" w:ascii="Times New Roman" w:hAnsi="Times New Roman" w:cs="Times New Roman"/>
                <w:color w:val="000000"/>
                <w:szCs w:val="22"/>
                <w:highlight w:val="none"/>
              </w:rPr>
            </w:pPr>
            <w:r>
              <w:rPr>
                <w:rFonts w:hint="default" w:ascii="Times New Roman" w:hAnsi="Times New Roman" w:cs="Times New Roman"/>
                <w:i/>
                <w:iCs/>
                <w:color w:val="000000"/>
                <w:szCs w:val="22"/>
                <w:highlight w:val="none"/>
              </w:rPr>
              <w:t>V</w:t>
            </w:r>
            <w:r>
              <w:rPr>
                <w:rFonts w:hint="default" w:ascii="Times New Roman" w:hAnsi="Times New Roman" w:cs="Times New Roman"/>
                <w:i/>
                <w:iCs/>
                <w:color w:val="000000"/>
                <w:szCs w:val="22"/>
                <w:highlight w:val="none"/>
                <w:vertAlign w:val="subscript"/>
              </w:rPr>
              <w:t>x</w:t>
            </w:r>
            <w:r>
              <w:rPr>
                <w:rFonts w:hint="eastAsia" w:ascii="Times New Roman" w:hAnsi="Times New Roman" w:cs="Times New Roman"/>
                <w:color w:val="000000"/>
                <w:szCs w:val="22"/>
                <w:highlight w:val="none"/>
                <w:lang w:eastAsia="zh-CN"/>
              </w:rPr>
              <w:t>——</w:t>
            </w:r>
            <w:r>
              <w:rPr>
                <w:rFonts w:hint="default" w:ascii="Times New Roman" w:hAnsi="Times New Roman" w:cs="Times New Roman"/>
                <w:color w:val="000000"/>
                <w:szCs w:val="22"/>
                <w:highlight w:val="none"/>
              </w:rPr>
              <w:t>污染源控制速度，m/s。</w:t>
            </w:r>
          </w:p>
          <w:p w14:paraId="47F10AA5">
            <w:pPr>
              <w:spacing w:line="360" w:lineRule="auto"/>
              <w:ind w:firstLine="480" w:firstLineChars="200"/>
              <w:rPr>
                <w:rFonts w:hint="default" w:ascii="Times New Roman" w:hAnsi="Times New Roman" w:cs="Times New Roman"/>
                <w:bCs/>
                <w:sz w:val="24"/>
                <w:highlight w:val="none"/>
              </w:rPr>
            </w:pPr>
            <w:r>
              <w:rPr>
                <w:rFonts w:hint="default" w:ascii="Times New Roman" w:hAnsi="Times New Roman" w:cs="Times New Roman"/>
                <w:bCs/>
                <w:sz w:val="24"/>
                <w:highlight w:val="none"/>
              </w:rPr>
              <w:t>项目所需风量计算结果详见表4</w:t>
            </w:r>
            <w:r>
              <w:rPr>
                <w:rFonts w:hint="eastAsia" w:ascii="Times New Roman" w:hAnsi="Times New Roman" w:eastAsia="宋体" w:cs="Times New Roman"/>
                <w:bCs/>
                <w:sz w:val="24"/>
                <w:highlight w:val="none"/>
                <w:lang w:val="en-US" w:eastAsia="zh-CN"/>
              </w:rPr>
              <w:t>.2-7</w:t>
            </w:r>
            <w:r>
              <w:rPr>
                <w:rFonts w:hint="default" w:ascii="Times New Roman" w:hAnsi="Times New Roman" w:cs="Times New Roman"/>
                <w:bCs/>
                <w:sz w:val="24"/>
                <w:highlight w:val="none"/>
              </w:rPr>
              <w:t>。</w:t>
            </w:r>
          </w:p>
          <w:p w14:paraId="08A4C4E0">
            <w:pPr>
              <w:spacing w:before="120" w:beforeLines="5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表4</w:t>
            </w:r>
            <w:r>
              <w:rPr>
                <w:rFonts w:hint="eastAsia" w:ascii="Times New Roman" w:hAnsi="Times New Roman" w:eastAsia="宋体" w:cs="Times New Roman"/>
                <w:b/>
                <w:sz w:val="24"/>
                <w:highlight w:val="none"/>
                <w:lang w:val="en-US" w:eastAsia="zh-CN"/>
              </w:rPr>
              <w:t>.2-7</w:t>
            </w:r>
            <w:r>
              <w:rPr>
                <w:rFonts w:hint="default" w:ascii="Times New Roman" w:hAnsi="Times New Roman" w:cs="Times New Roman"/>
                <w:b/>
                <w:sz w:val="24"/>
                <w:highlight w:val="none"/>
              </w:rPr>
              <w:t xml:space="preserve"> 项目废气收集所需风量计算一览表</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305"/>
              <w:gridCol w:w="1149"/>
              <w:gridCol w:w="1439"/>
              <w:gridCol w:w="718"/>
              <w:gridCol w:w="719"/>
              <w:gridCol w:w="719"/>
              <w:gridCol w:w="1087"/>
            </w:tblGrid>
            <w:tr w14:paraId="7424A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9" w:type="dxa"/>
                  <w:vMerge w:val="restart"/>
                  <w:vAlign w:val="center"/>
                </w:tcPr>
                <w:p w14:paraId="46FE7D82">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排气筒</w:t>
                  </w:r>
                </w:p>
              </w:tc>
              <w:tc>
                <w:tcPr>
                  <w:tcW w:w="1305" w:type="dxa"/>
                  <w:vMerge w:val="restart"/>
                  <w:vAlign w:val="center"/>
                </w:tcPr>
                <w:p w14:paraId="0A75D655">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设备</w:t>
                  </w:r>
                </w:p>
              </w:tc>
              <w:tc>
                <w:tcPr>
                  <w:tcW w:w="1149" w:type="dxa"/>
                  <w:vMerge w:val="restart"/>
                  <w:vAlign w:val="center"/>
                </w:tcPr>
                <w:p w14:paraId="1BBA2525">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设备数量</w:t>
                  </w:r>
                </w:p>
              </w:tc>
              <w:tc>
                <w:tcPr>
                  <w:tcW w:w="1439" w:type="dxa"/>
                  <w:vMerge w:val="restart"/>
                  <w:vAlign w:val="center"/>
                </w:tcPr>
                <w:p w14:paraId="401600C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罩口尺寸</w:t>
                  </w:r>
                </w:p>
              </w:tc>
              <w:tc>
                <w:tcPr>
                  <w:tcW w:w="718" w:type="dxa"/>
                  <w:vAlign w:val="center"/>
                </w:tcPr>
                <w:p w14:paraId="4E42878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P</w:t>
                  </w:r>
                </w:p>
              </w:tc>
              <w:tc>
                <w:tcPr>
                  <w:tcW w:w="719" w:type="dxa"/>
                  <w:vAlign w:val="center"/>
                </w:tcPr>
                <w:p w14:paraId="7075C891">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H</w:t>
                  </w:r>
                </w:p>
              </w:tc>
              <w:tc>
                <w:tcPr>
                  <w:tcW w:w="719" w:type="dxa"/>
                  <w:vAlign w:val="center"/>
                </w:tcPr>
                <w:p w14:paraId="0262E408">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V</w:t>
                  </w:r>
                  <w:r>
                    <w:rPr>
                      <w:rFonts w:hint="default" w:ascii="Times New Roman" w:hAnsi="Times New Roman" w:cs="Times New Roman"/>
                      <w:bCs/>
                      <w:szCs w:val="21"/>
                      <w:highlight w:val="none"/>
                      <w:vertAlign w:val="subscript"/>
                    </w:rPr>
                    <w:t>X</w:t>
                  </w:r>
                </w:p>
              </w:tc>
              <w:tc>
                <w:tcPr>
                  <w:tcW w:w="1087" w:type="dxa"/>
                  <w:vAlign w:val="center"/>
                </w:tcPr>
                <w:p w14:paraId="15703BC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所需风量</w:t>
                  </w:r>
                </w:p>
              </w:tc>
            </w:tr>
            <w:tr w14:paraId="7454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9" w:type="dxa"/>
                  <w:vMerge w:val="continue"/>
                  <w:vAlign w:val="center"/>
                </w:tcPr>
                <w:p w14:paraId="15704BA4">
                  <w:pPr>
                    <w:spacing w:line="340" w:lineRule="exact"/>
                    <w:jc w:val="center"/>
                    <w:rPr>
                      <w:rFonts w:hint="default" w:ascii="Times New Roman" w:hAnsi="Times New Roman" w:cs="Times New Roman"/>
                      <w:bCs/>
                      <w:szCs w:val="21"/>
                      <w:highlight w:val="none"/>
                    </w:rPr>
                  </w:pPr>
                </w:p>
              </w:tc>
              <w:tc>
                <w:tcPr>
                  <w:tcW w:w="1305" w:type="dxa"/>
                  <w:vMerge w:val="continue"/>
                  <w:vAlign w:val="center"/>
                </w:tcPr>
                <w:p w14:paraId="5D40EEAE">
                  <w:pPr>
                    <w:spacing w:line="340" w:lineRule="exact"/>
                    <w:jc w:val="center"/>
                    <w:rPr>
                      <w:rFonts w:hint="default" w:ascii="Times New Roman" w:hAnsi="Times New Roman" w:cs="Times New Roman"/>
                      <w:bCs/>
                      <w:szCs w:val="21"/>
                      <w:highlight w:val="none"/>
                    </w:rPr>
                  </w:pPr>
                </w:p>
              </w:tc>
              <w:tc>
                <w:tcPr>
                  <w:tcW w:w="1149" w:type="dxa"/>
                  <w:vMerge w:val="continue"/>
                  <w:vAlign w:val="center"/>
                </w:tcPr>
                <w:p w14:paraId="2D6A3D48">
                  <w:pPr>
                    <w:spacing w:line="340" w:lineRule="exact"/>
                    <w:jc w:val="center"/>
                    <w:rPr>
                      <w:rFonts w:hint="default" w:ascii="Times New Roman" w:hAnsi="Times New Roman" w:cs="Times New Roman"/>
                      <w:bCs/>
                      <w:szCs w:val="21"/>
                      <w:highlight w:val="none"/>
                    </w:rPr>
                  </w:pPr>
                </w:p>
              </w:tc>
              <w:tc>
                <w:tcPr>
                  <w:tcW w:w="1439" w:type="dxa"/>
                  <w:vMerge w:val="continue"/>
                  <w:vAlign w:val="center"/>
                </w:tcPr>
                <w:p w14:paraId="51D6D290">
                  <w:pPr>
                    <w:spacing w:line="340" w:lineRule="exact"/>
                    <w:jc w:val="center"/>
                    <w:rPr>
                      <w:rFonts w:hint="default" w:ascii="Times New Roman" w:hAnsi="Times New Roman" w:cs="Times New Roman"/>
                      <w:bCs/>
                      <w:szCs w:val="21"/>
                      <w:highlight w:val="none"/>
                    </w:rPr>
                  </w:pPr>
                </w:p>
              </w:tc>
              <w:tc>
                <w:tcPr>
                  <w:tcW w:w="718" w:type="dxa"/>
                  <w:vAlign w:val="center"/>
                </w:tcPr>
                <w:p w14:paraId="306C34E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m</w:t>
                  </w:r>
                </w:p>
              </w:tc>
              <w:tc>
                <w:tcPr>
                  <w:tcW w:w="719" w:type="dxa"/>
                  <w:vAlign w:val="center"/>
                </w:tcPr>
                <w:p w14:paraId="283592B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m</w:t>
                  </w:r>
                </w:p>
              </w:tc>
              <w:tc>
                <w:tcPr>
                  <w:tcW w:w="719" w:type="dxa"/>
                  <w:vAlign w:val="center"/>
                </w:tcPr>
                <w:p w14:paraId="49FB1133">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m/s</w:t>
                  </w:r>
                </w:p>
              </w:tc>
              <w:tc>
                <w:tcPr>
                  <w:tcW w:w="1087" w:type="dxa"/>
                  <w:vAlign w:val="center"/>
                </w:tcPr>
                <w:p w14:paraId="754EA958">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m</w:t>
                  </w:r>
                  <w:r>
                    <w:rPr>
                      <w:rFonts w:hint="default" w:ascii="Times New Roman" w:hAnsi="Times New Roman" w:cs="Times New Roman"/>
                      <w:bCs/>
                      <w:szCs w:val="21"/>
                      <w:highlight w:val="none"/>
                      <w:vertAlign w:val="superscript"/>
                    </w:rPr>
                    <w:t>3</w:t>
                  </w:r>
                  <w:r>
                    <w:rPr>
                      <w:rFonts w:hint="default" w:ascii="Times New Roman" w:hAnsi="Times New Roman" w:cs="Times New Roman"/>
                      <w:bCs/>
                      <w:szCs w:val="21"/>
                      <w:highlight w:val="none"/>
                    </w:rPr>
                    <w:t>/h</w:t>
                  </w:r>
                </w:p>
              </w:tc>
            </w:tr>
            <w:tr w14:paraId="0F7A6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9" w:type="dxa"/>
                  <w:vMerge w:val="restart"/>
                  <w:vAlign w:val="center"/>
                </w:tcPr>
                <w:p w14:paraId="00E67DE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DA001</w:t>
                  </w:r>
                </w:p>
              </w:tc>
              <w:tc>
                <w:tcPr>
                  <w:tcW w:w="1305" w:type="dxa"/>
                  <w:vAlign w:val="center"/>
                </w:tcPr>
                <w:p w14:paraId="44AF47FB">
                  <w:pPr>
                    <w:spacing w:line="340" w:lineRule="exact"/>
                    <w:jc w:val="center"/>
                    <w:rPr>
                      <w:rFonts w:hint="default" w:ascii="Times New Roman" w:hAnsi="Times New Roman" w:cs="Times New Roman"/>
                      <w:bCs/>
                      <w:szCs w:val="21"/>
                      <w:highlight w:val="none"/>
                    </w:rPr>
                  </w:pPr>
                  <w:r>
                    <w:rPr>
                      <w:rFonts w:hint="eastAsia" w:ascii="Times New Roman" w:hAnsi="Times New Roman" w:eastAsia="宋体" w:cs="Times New Roman"/>
                      <w:bCs/>
                      <w:szCs w:val="21"/>
                      <w:highlight w:val="none"/>
                      <w:lang w:val="en-US" w:eastAsia="zh-CN"/>
                    </w:rPr>
                    <w:t>床围带</w:t>
                  </w:r>
                  <w:r>
                    <w:rPr>
                      <w:rFonts w:hint="default" w:ascii="Times New Roman" w:hAnsi="Times New Roman" w:cs="Times New Roman"/>
                      <w:bCs/>
                      <w:szCs w:val="21"/>
                      <w:highlight w:val="none"/>
                    </w:rPr>
                    <w:t>机</w:t>
                  </w:r>
                </w:p>
              </w:tc>
              <w:tc>
                <w:tcPr>
                  <w:tcW w:w="1149" w:type="dxa"/>
                  <w:vAlign w:val="center"/>
                </w:tcPr>
                <w:p w14:paraId="7EA02537">
                  <w:pPr>
                    <w:spacing w:line="340" w:lineRule="exact"/>
                    <w:jc w:val="center"/>
                    <w:rPr>
                      <w:rFonts w:hint="default" w:ascii="Times New Roman" w:hAnsi="Times New Roman" w:cs="Times New Roman"/>
                      <w:bCs/>
                      <w:szCs w:val="21"/>
                      <w:highlight w:val="none"/>
                    </w:rPr>
                  </w:pPr>
                  <w:r>
                    <w:rPr>
                      <w:rFonts w:hint="eastAsia" w:ascii="Times New Roman" w:hAnsi="Times New Roman" w:eastAsia="宋体" w:cs="Times New Roman"/>
                      <w:bCs/>
                      <w:szCs w:val="21"/>
                      <w:highlight w:val="none"/>
                      <w:lang w:val="en-US" w:eastAsia="zh-CN"/>
                    </w:rPr>
                    <w:t>1</w:t>
                  </w:r>
                  <w:r>
                    <w:rPr>
                      <w:rFonts w:hint="default" w:ascii="Times New Roman" w:hAnsi="Times New Roman" w:cs="Times New Roman"/>
                      <w:bCs/>
                      <w:szCs w:val="21"/>
                      <w:highlight w:val="none"/>
                    </w:rPr>
                    <w:t>台</w:t>
                  </w:r>
                </w:p>
              </w:tc>
              <w:tc>
                <w:tcPr>
                  <w:tcW w:w="1439" w:type="dxa"/>
                  <w:vAlign w:val="center"/>
                </w:tcPr>
                <w:p w14:paraId="7BE7CC37">
                  <w:pPr>
                    <w:spacing w:line="340" w:lineRule="exact"/>
                    <w:jc w:val="center"/>
                    <w:rPr>
                      <w:rFonts w:hint="default" w:ascii="Times New Roman" w:hAnsi="Times New Roman" w:cs="Times New Roman"/>
                      <w:bCs/>
                      <w:szCs w:val="21"/>
                      <w:highlight w:val="none"/>
                    </w:rPr>
                  </w:pPr>
                  <w:r>
                    <w:rPr>
                      <w:rFonts w:hint="eastAsia" w:ascii="Times New Roman" w:hAnsi="Times New Roman" w:eastAsia="宋体" w:cs="Times New Roman"/>
                      <w:bCs/>
                      <w:szCs w:val="21"/>
                      <w:highlight w:val="none"/>
                      <w:lang w:val="en-US" w:eastAsia="zh-CN"/>
                    </w:rPr>
                    <w:t>2.5</w:t>
                  </w:r>
                  <w:r>
                    <w:rPr>
                      <w:rFonts w:hint="default" w:ascii="Times New Roman" w:hAnsi="Times New Roman" w:cs="Times New Roman"/>
                      <w:bCs/>
                      <w:szCs w:val="21"/>
                      <w:highlight w:val="none"/>
                    </w:rPr>
                    <w:t>m×</w:t>
                  </w:r>
                  <w:r>
                    <w:rPr>
                      <w:rFonts w:hint="eastAsia" w:ascii="Times New Roman" w:hAnsi="Times New Roman" w:eastAsia="宋体" w:cs="Times New Roman"/>
                      <w:bCs/>
                      <w:szCs w:val="21"/>
                      <w:highlight w:val="none"/>
                      <w:lang w:val="en-US" w:eastAsia="zh-CN"/>
                    </w:rPr>
                    <w:t>2</w:t>
                  </w:r>
                  <w:r>
                    <w:rPr>
                      <w:rFonts w:hint="default" w:ascii="Times New Roman" w:hAnsi="Times New Roman" w:cs="Times New Roman"/>
                      <w:bCs/>
                      <w:szCs w:val="21"/>
                      <w:highlight w:val="none"/>
                    </w:rPr>
                    <w:t>m</w:t>
                  </w:r>
                </w:p>
              </w:tc>
              <w:tc>
                <w:tcPr>
                  <w:tcW w:w="718" w:type="dxa"/>
                  <w:vAlign w:val="center"/>
                </w:tcPr>
                <w:p w14:paraId="5CAF03E9">
                  <w:pPr>
                    <w:spacing w:line="340" w:lineRule="exact"/>
                    <w:jc w:val="center"/>
                    <w:rPr>
                      <w:rFonts w:hint="eastAsia" w:ascii="Times New Roman" w:hAnsi="Times New Roman" w:eastAsia="宋体" w:cs="Times New Roman"/>
                      <w:bCs/>
                      <w:szCs w:val="21"/>
                      <w:highlight w:val="none"/>
                      <w:lang w:eastAsia="zh-CN"/>
                    </w:rPr>
                  </w:pPr>
                  <w:r>
                    <w:rPr>
                      <w:rFonts w:hint="eastAsia" w:ascii="Times New Roman" w:hAnsi="Times New Roman" w:eastAsia="宋体" w:cs="Times New Roman"/>
                      <w:bCs/>
                      <w:szCs w:val="21"/>
                      <w:highlight w:val="none"/>
                      <w:lang w:val="en-US" w:eastAsia="zh-CN"/>
                    </w:rPr>
                    <w:t>9</w:t>
                  </w:r>
                </w:p>
              </w:tc>
              <w:tc>
                <w:tcPr>
                  <w:tcW w:w="719" w:type="dxa"/>
                  <w:vAlign w:val="center"/>
                </w:tcPr>
                <w:p w14:paraId="1ED7240F">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0.2</w:t>
                  </w:r>
                </w:p>
              </w:tc>
              <w:tc>
                <w:tcPr>
                  <w:tcW w:w="719" w:type="dxa"/>
                  <w:vAlign w:val="center"/>
                </w:tcPr>
                <w:p w14:paraId="15547091">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0.5</w:t>
                  </w:r>
                </w:p>
              </w:tc>
              <w:tc>
                <w:tcPr>
                  <w:tcW w:w="1087" w:type="dxa"/>
                  <w:vAlign w:val="center"/>
                </w:tcPr>
                <w:p w14:paraId="181C3C24">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4596</w:t>
                  </w:r>
                </w:p>
              </w:tc>
            </w:tr>
            <w:tr w14:paraId="648F1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9" w:type="dxa"/>
                  <w:vMerge w:val="continue"/>
                  <w:vAlign w:val="center"/>
                </w:tcPr>
                <w:p w14:paraId="5DC4AB5B">
                  <w:pPr>
                    <w:spacing w:line="340" w:lineRule="exact"/>
                    <w:jc w:val="center"/>
                    <w:rPr>
                      <w:rFonts w:hint="default" w:ascii="Times New Roman" w:hAnsi="Times New Roman" w:cs="Times New Roman"/>
                      <w:bCs/>
                      <w:szCs w:val="21"/>
                      <w:highlight w:val="none"/>
                    </w:rPr>
                  </w:pPr>
                </w:p>
              </w:tc>
              <w:tc>
                <w:tcPr>
                  <w:tcW w:w="1305" w:type="dxa"/>
                  <w:vAlign w:val="center"/>
                </w:tcPr>
                <w:p w14:paraId="6E76F823">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高温机</w:t>
                  </w:r>
                </w:p>
              </w:tc>
              <w:tc>
                <w:tcPr>
                  <w:tcW w:w="1149" w:type="dxa"/>
                  <w:vAlign w:val="center"/>
                </w:tcPr>
                <w:p w14:paraId="26479AEB">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1台</w:t>
                  </w:r>
                </w:p>
              </w:tc>
              <w:tc>
                <w:tcPr>
                  <w:tcW w:w="1439" w:type="dxa"/>
                  <w:vAlign w:val="center"/>
                </w:tcPr>
                <w:p w14:paraId="6CEED5E3">
                  <w:pPr>
                    <w:spacing w:line="340" w:lineRule="exac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2.5</w:t>
                  </w:r>
                  <w:r>
                    <w:rPr>
                      <w:rFonts w:hint="default" w:ascii="Times New Roman" w:hAnsi="Times New Roman" w:cs="Times New Roman"/>
                      <w:bCs/>
                      <w:szCs w:val="21"/>
                      <w:highlight w:val="none"/>
                    </w:rPr>
                    <w:t>m×</w:t>
                  </w:r>
                  <w:r>
                    <w:rPr>
                      <w:rFonts w:hint="eastAsia" w:ascii="Times New Roman" w:hAnsi="Times New Roman" w:eastAsia="宋体" w:cs="Times New Roman"/>
                      <w:bCs/>
                      <w:szCs w:val="21"/>
                      <w:highlight w:val="none"/>
                      <w:lang w:val="en-US" w:eastAsia="zh-CN"/>
                    </w:rPr>
                    <w:t>2</w:t>
                  </w:r>
                  <w:r>
                    <w:rPr>
                      <w:rFonts w:hint="default" w:ascii="Times New Roman" w:hAnsi="Times New Roman" w:cs="Times New Roman"/>
                      <w:bCs/>
                      <w:szCs w:val="21"/>
                      <w:highlight w:val="none"/>
                    </w:rPr>
                    <w:t>m</w:t>
                  </w:r>
                </w:p>
              </w:tc>
              <w:tc>
                <w:tcPr>
                  <w:tcW w:w="718" w:type="dxa"/>
                  <w:vAlign w:val="center"/>
                </w:tcPr>
                <w:p w14:paraId="3E053BA8">
                  <w:pPr>
                    <w:spacing w:line="340" w:lineRule="exac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9</w:t>
                  </w:r>
                </w:p>
              </w:tc>
              <w:tc>
                <w:tcPr>
                  <w:tcW w:w="719" w:type="dxa"/>
                  <w:vAlign w:val="center"/>
                </w:tcPr>
                <w:p w14:paraId="2BC4CE8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0.2</w:t>
                  </w:r>
                </w:p>
              </w:tc>
              <w:tc>
                <w:tcPr>
                  <w:tcW w:w="719" w:type="dxa"/>
                  <w:vAlign w:val="center"/>
                </w:tcPr>
                <w:p w14:paraId="3F30282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0.5</w:t>
                  </w:r>
                </w:p>
              </w:tc>
              <w:tc>
                <w:tcPr>
                  <w:tcW w:w="1087" w:type="dxa"/>
                  <w:vAlign w:val="center"/>
                </w:tcPr>
                <w:p w14:paraId="2ED88ADC">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4596</w:t>
                  </w:r>
                </w:p>
              </w:tc>
            </w:tr>
            <w:tr w14:paraId="4402A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9" w:type="dxa"/>
                  <w:vMerge w:val="continue"/>
                  <w:vAlign w:val="center"/>
                </w:tcPr>
                <w:p w14:paraId="680262C6">
                  <w:pPr>
                    <w:spacing w:line="340" w:lineRule="exact"/>
                    <w:jc w:val="center"/>
                    <w:rPr>
                      <w:rFonts w:hint="default" w:ascii="Times New Roman" w:hAnsi="Times New Roman" w:cs="Times New Roman"/>
                      <w:bCs/>
                      <w:szCs w:val="21"/>
                      <w:highlight w:val="none"/>
                    </w:rPr>
                  </w:pPr>
                </w:p>
              </w:tc>
              <w:tc>
                <w:tcPr>
                  <w:tcW w:w="6049" w:type="dxa"/>
                  <w:gridSpan w:val="6"/>
                  <w:vAlign w:val="center"/>
                </w:tcPr>
                <w:p w14:paraId="345C082C">
                  <w:pPr>
                    <w:spacing w:line="340" w:lineRule="exac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合计</w:t>
                  </w:r>
                </w:p>
              </w:tc>
              <w:tc>
                <w:tcPr>
                  <w:tcW w:w="1087" w:type="dxa"/>
                  <w:vAlign w:val="center"/>
                </w:tcPr>
                <w:p w14:paraId="1898D3C2">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9192</w:t>
                  </w:r>
                </w:p>
              </w:tc>
            </w:tr>
          </w:tbl>
          <w:p w14:paraId="053D7584">
            <w:pPr>
              <w:spacing w:before="120" w:beforeLines="50" w:line="360" w:lineRule="auto"/>
              <w:ind w:firstLine="480" w:firstLineChars="200"/>
              <w:rPr>
                <w:rFonts w:hint="default" w:ascii="Times New Roman" w:hAnsi="Times New Roman" w:cs="Times New Roman"/>
                <w:bCs/>
                <w:sz w:val="24"/>
                <w:highlight w:val="none"/>
              </w:rPr>
            </w:pPr>
            <w:r>
              <w:rPr>
                <w:rFonts w:hint="default" w:ascii="Times New Roman" w:hAnsi="Times New Roman" w:cs="Times New Roman"/>
                <w:bCs/>
                <w:sz w:val="24"/>
                <w:highlight w:val="none"/>
              </w:rPr>
              <w:t>项目车间密闭，</w:t>
            </w:r>
            <w:r>
              <w:rPr>
                <w:rFonts w:hint="default" w:ascii="Times New Roman" w:hAnsi="Times New Roman" w:cs="Times New Roman"/>
                <w:bCs/>
                <w:sz w:val="24"/>
                <w:highlight w:val="none"/>
                <w:lang w:val="en-US" w:eastAsia="zh-CN"/>
              </w:rPr>
              <w:t>印刷</w:t>
            </w:r>
            <w:r>
              <w:rPr>
                <w:rFonts w:hint="default" w:ascii="Times New Roman" w:hAnsi="Times New Roman" w:cs="Times New Roman"/>
                <w:bCs/>
                <w:sz w:val="24"/>
                <w:highlight w:val="none"/>
              </w:rPr>
              <w:t>废气配套</w:t>
            </w:r>
            <w:r>
              <w:rPr>
                <w:rFonts w:hint="default" w:ascii="Times New Roman" w:hAnsi="Times New Roman" w:cs="Times New Roman"/>
                <w:bCs/>
                <w:sz w:val="24"/>
                <w:highlight w:val="none"/>
                <w:lang w:val="en-US" w:eastAsia="zh-CN"/>
              </w:rPr>
              <w:t>1</w:t>
            </w:r>
            <w:r>
              <w:rPr>
                <w:rFonts w:hint="default" w:ascii="Times New Roman" w:hAnsi="Times New Roman" w:cs="Times New Roman"/>
                <w:bCs/>
                <w:sz w:val="24"/>
                <w:highlight w:val="none"/>
              </w:rPr>
              <w:t>0000m</w:t>
            </w:r>
            <w:r>
              <w:rPr>
                <w:rFonts w:hint="default" w:ascii="Times New Roman" w:hAnsi="Times New Roman" w:cs="Times New Roman"/>
                <w:bCs/>
                <w:sz w:val="24"/>
                <w:highlight w:val="none"/>
                <w:vertAlign w:val="superscript"/>
              </w:rPr>
              <w:t>3</w:t>
            </w:r>
            <w:r>
              <w:rPr>
                <w:rFonts w:hint="default" w:ascii="Times New Roman" w:hAnsi="Times New Roman" w:cs="Times New Roman"/>
                <w:bCs/>
                <w:sz w:val="24"/>
                <w:highlight w:val="none"/>
              </w:rPr>
              <w:t>/h的风机确保收集面吸入风速不小于0.5m/s，本项目废气收集效率按80%计算。</w:t>
            </w:r>
          </w:p>
          <w:p w14:paraId="3BCD0ED6">
            <w:pPr>
              <w:numPr>
                <w:ilvl w:val="0"/>
                <w:numId w:val="0"/>
              </w:numPr>
              <w:spacing w:before="120" w:beforeLines="50" w:line="360" w:lineRule="auto"/>
              <w:ind w:left="0" w:leftChars="0" w:firstLine="480" w:firstLineChars="200"/>
              <w:rPr>
                <w:rFonts w:hint="default" w:ascii="Times New Roman" w:hAnsi="Times New Roman" w:cs="Times New Roman"/>
                <w:bCs/>
                <w:sz w:val="24"/>
                <w:highlight w:val="none"/>
                <w:lang w:val="en-US" w:eastAsia="zh-CN"/>
              </w:rPr>
            </w:pPr>
            <w:r>
              <w:rPr>
                <w:rFonts w:hint="default" w:ascii="Times New Roman" w:hAnsi="Times New Roman" w:eastAsia="Arial" w:cs="Times New Roman"/>
                <w:bCs/>
                <w:snapToGrid w:val="0"/>
                <w:color w:val="000000"/>
                <w:kern w:val="0"/>
                <w:sz w:val="24"/>
                <w:szCs w:val="21"/>
                <w:lang w:val="en-US" w:eastAsia="zh-CN"/>
              </w:rPr>
              <w:t>（</w:t>
            </w:r>
            <w:r>
              <w:rPr>
                <w:rFonts w:hint="eastAsia" w:ascii="Times New Roman" w:hAnsi="Times New Roman" w:cs="Times New Roman"/>
                <w:bCs/>
                <w:snapToGrid w:val="0"/>
                <w:color w:val="000000"/>
                <w:kern w:val="0"/>
                <w:sz w:val="24"/>
                <w:szCs w:val="21"/>
                <w:lang w:val="en-US" w:eastAsia="zh-CN"/>
              </w:rPr>
              <w:t>2</w:t>
            </w:r>
            <w:r>
              <w:rPr>
                <w:rFonts w:hint="default" w:ascii="Times New Roman" w:hAnsi="Times New Roman" w:eastAsia="Arial" w:cs="Times New Roman"/>
                <w:bCs/>
                <w:snapToGrid w:val="0"/>
                <w:color w:val="000000"/>
                <w:kern w:val="0"/>
                <w:sz w:val="24"/>
                <w:szCs w:val="21"/>
                <w:lang w:val="en-US" w:eastAsia="zh-CN"/>
              </w:rPr>
              <w:t>）工艺流程</w:t>
            </w:r>
          </w:p>
          <w:p w14:paraId="274771D2">
            <w:pPr>
              <w:numPr>
                <w:ilvl w:val="0"/>
                <w:numId w:val="0"/>
              </w:numPr>
              <w:spacing w:before="120" w:beforeLines="50" w:line="360" w:lineRule="auto"/>
              <w:ind w:left="0" w:leftChars="0" w:firstLine="480" w:firstLineChars="200"/>
              <w:rPr>
                <w:rFonts w:hint="default" w:ascii="Times New Roman" w:hAnsi="Times New Roman" w:eastAsia="Arial" w:cs="Times New Roman"/>
                <w:bCs/>
                <w:snapToGrid w:val="0"/>
                <w:color w:val="000000"/>
                <w:kern w:val="0"/>
                <w:sz w:val="24"/>
                <w:szCs w:val="21"/>
                <w:lang w:val="en-US" w:eastAsia="zh-CN"/>
              </w:rPr>
            </w:pPr>
            <w:r>
              <w:rPr>
                <w:rFonts w:hint="default" w:ascii="Times New Roman" w:hAnsi="Times New Roman" w:eastAsia="Arial" w:cs="Times New Roman"/>
                <w:bCs/>
                <w:snapToGrid w:val="0"/>
                <w:color w:val="000000"/>
                <w:kern w:val="0"/>
                <w:sz w:val="24"/>
                <w:szCs w:val="21"/>
                <w:lang w:val="en-US" w:eastAsia="zh-CN"/>
              </w:rPr>
              <w:t>项目</w:t>
            </w:r>
            <w:r>
              <w:rPr>
                <w:rFonts w:hint="eastAsia" w:ascii="Times New Roman" w:hAnsi="Times New Roman" w:cs="Times New Roman"/>
                <w:bCs/>
                <w:snapToGrid w:val="0"/>
                <w:color w:val="000000"/>
                <w:kern w:val="0"/>
                <w:sz w:val="24"/>
                <w:szCs w:val="21"/>
                <w:lang w:val="en-US" w:eastAsia="zh-CN"/>
              </w:rPr>
              <w:t>调墨</w:t>
            </w:r>
            <w:r>
              <w:rPr>
                <w:rFonts w:hint="default" w:ascii="Times New Roman" w:hAnsi="Times New Roman" w:eastAsia="Arial" w:cs="Times New Roman"/>
                <w:bCs/>
                <w:snapToGrid w:val="0"/>
                <w:color w:val="000000"/>
                <w:kern w:val="0"/>
                <w:sz w:val="24"/>
                <w:szCs w:val="21"/>
                <w:lang w:val="en-US" w:eastAsia="zh-CN"/>
              </w:rPr>
              <w:t>、</w:t>
            </w:r>
            <w:r>
              <w:rPr>
                <w:rFonts w:hint="eastAsia" w:ascii="Times New Roman" w:hAnsi="Times New Roman" w:cs="Times New Roman"/>
                <w:bCs/>
                <w:snapToGrid w:val="0"/>
                <w:color w:val="000000"/>
                <w:kern w:val="0"/>
                <w:sz w:val="24"/>
                <w:szCs w:val="21"/>
                <w:lang w:val="en-US" w:eastAsia="zh-CN"/>
              </w:rPr>
              <w:t>印刷</w:t>
            </w:r>
            <w:r>
              <w:rPr>
                <w:rFonts w:hint="default" w:ascii="Times New Roman" w:hAnsi="Times New Roman" w:eastAsia="Arial" w:cs="Times New Roman"/>
                <w:bCs/>
                <w:snapToGrid w:val="0"/>
                <w:color w:val="000000"/>
                <w:kern w:val="0"/>
                <w:sz w:val="24"/>
                <w:szCs w:val="21"/>
                <w:lang w:val="en-US" w:eastAsia="zh-CN"/>
              </w:rPr>
              <w:t>等有机废气拟经集气装置收集后引至屋顶采用“</w:t>
            </w:r>
            <w:r>
              <w:rPr>
                <w:rFonts w:hint="eastAsia" w:ascii="Times New Roman" w:hAnsi="Times New Roman" w:cs="Times New Roman"/>
                <w:bCs/>
                <w:snapToGrid w:val="0"/>
                <w:color w:val="000000"/>
                <w:kern w:val="0"/>
                <w:sz w:val="24"/>
                <w:szCs w:val="21"/>
                <w:lang w:val="en-US" w:eastAsia="zh-CN"/>
              </w:rPr>
              <w:t>二级活性炭串联吸附装置</w:t>
            </w:r>
            <w:r>
              <w:rPr>
                <w:rFonts w:hint="default" w:ascii="Times New Roman" w:hAnsi="Times New Roman" w:eastAsia="Arial" w:cs="Times New Roman"/>
                <w:bCs/>
                <w:snapToGrid w:val="0"/>
                <w:color w:val="000000"/>
                <w:kern w:val="0"/>
                <w:sz w:val="24"/>
                <w:szCs w:val="21"/>
                <w:lang w:val="en-US" w:eastAsia="zh-CN"/>
              </w:rPr>
              <w:t>”处理后通过1根15m高排气筒排放（DA001）；具体处理工艺流程详见图4.2-1。</w:t>
            </w:r>
          </w:p>
          <w:p w14:paraId="0FA57028">
            <w:pPr>
              <w:numPr>
                <w:ilvl w:val="0"/>
                <w:numId w:val="0"/>
              </w:numPr>
              <w:spacing w:before="120" w:beforeLines="50" w:line="360" w:lineRule="auto"/>
              <w:jc w:val="center"/>
              <w:rPr>
                <w:rFonts w:hint="default" w:ascii="Times New Roman" w:hAnsi="Times New Roman" w:eastAsia="Arial" w:cs="Times New Roman"/>
                <w:bCs/>
                <w:snapToGrid w:val="0"/>
                <w:color w:val="000000"/>
                <w:kern w:val="0"/>
                <w:sz w:val="24"/>
                <w:szCs w:val="21"/>
                <w:lang w:val="en-US" w:eastAsia="zh-CN"/>
              </w:rPr>
            </w:pPr>
            <w:r>
              <w:drawing>
                <wp:inline distT="0" distB="0" distL="114300" distR="114300">
                  <wp:extent cx="5059045" cy="472440"/>
                  <wp:effectExtent l="0" t="0" r="8255" b="381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18"/>
                          <a:srcRect l="3777" t="20000" r="2330" b="19149"/>
                          <a:stretch>
                            <a:fillRect/>
                          </a:stretch>
                        </pic:blipFill>
                        <pic:spPr>
                          <a:xfrm>
                            <a:off x="0" y="0"/>
                            <a:ext cx="5059045" cy="472440"/>
                          </a:xfrm>
                          <a:prstGeom prst="rect">
                            <a:avLst/>
                          </a:prstGeom>
                          <a:noFill/>
                          <a:ln>
                            <a:noFill/>
                          </a:ln>
                        </pic:spPr>
                      </pic:pic>
                    </a:graphicData>
                  </a:graphic>
                </wp:inline>
              </w:drawing>
            </w:r>
          </w:p>
          <w:p w14:paraId="12ECDB09">
            <w:pPr>
              <w:numPr>
                <w:ilvl w:val="0"/>
                <w:numId w:val="0"/>
              </w:numPr>
              <w:spacing w:before="120" w:beforeLines="50" w:line="360" w:lineRule="auto"/>
              <w:jc w:val="center"/>
              <w:rPr>
                <w:rFonts w:hint="eastAsia" w:ascii="Times New Roman" w:hAnsi="Times New Roman" w:eastAsia="Arial" w:cs="Times New Roman"/>
                <w:bCs/>
                <w:snapToGrid w:val="0"/>
                <w:color w:val="000000"/>
                <w:kern w:val="0"/>
                <w:sz w:val="24"/>
                <w:szCs w:val="21"/>
                <w:lang w:val="en-US" w:eastAsia="zh-CN"/>
              </w:rPr>
            </w:pPr>
            <w:r>
              <w:rPr>
                <w:rFonts w:hint="default" w:ascii="Times New Roman" w:hAnsi="Times New Roman" w:cs="Times New Roman"/>
                <w:b/>
                <w:sz w:val="24"/>
                <w:highlight w:val="none"/>
              </w:rPr>
              <w:t>图4.2-1项目有机废气治理工艺示意图</w:t>
            </w:r>
          </w:p>
          <w:p w14:paraId="43F5E7B7">
            <w:pPr>
              <w:widowControl/>
              <w:numPr>
                <w:ilvl w:val="0"/>
                <w:numId w:val="0"/>
              </w:numPr>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（3）污染防治设施可行性分析</w:t>
            </w:r>
          </w:p>
          <w:p w14:paraId="2E9ADCA4">
            <w:pPr>
              <w:widowControl/>
              <w:spacing w:before="120" w:beforeLines="50" w:line="360" w:lineRule="auto"/>
              <w:ind w:firstLine="480" w:firstLineChars="200"/>
              <w:jc w:val="left"/>
              <w:rPr>
                <w:rFonts w:hint="default"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本</w:t>
            </w:r>
            <w:r>
              <w:rPr>
                <w:rFonts w:hint="default" w:ascii="Times New Roman" w:hAnsi="Times New Roman" w:cs="Times New Roman"/>
                <w:bCs/>
                <w:sz w:val="24"/>
                <w:highlight w:val="none"/>
                <w:lang w:val="en-US" w:eastAsia="zh-CN"/>
              </w:rPr>
              <w:t>项目</w:t>
            </w:r>
            <w:r>
              <w:rPr>
                <w:rFonts w:hint="eastAsia" w:ascii="Times New Roman" w:hAnsi="Times New Roman" w:cs="Times New Roman"/>
                <w:bCs/>
                <w:sz w:val="24"/>
                <w:highlight w:val="none"/>
                <w:lang w:val="en-US" w:eastAsia="zh-CN"/>
              </w:rPr>
              <w:t>生产</w:t>
            </w:r>
            <w:r>
              <w:rPr>
                <w:rFonts w:hint="default" w:ascii="Times New Roman" w:hAnsi="Times New Roman" w:cs="Times New Roman"/>
                <w:bCs/>
                <w:sz w:val="24"/>
                <w:highlight w:val="none"/>
                <w:lang w:val="en-US" w:eastAsia="zh-CN"/>
              </w:rPr>
              <w:t>废气采用</w:t>
            </w:r>
            <w:r>
              <w:rPr>
                <w:rFonts w:hint="eastAsia" w:ascii="Times New Roman" w:hAnsi="Times New Roman" w:cs="Times New Roman"/>
                <w:bCs/>
                <w:sz w:val="24"/>
                <w:highlight w:val="none"/>
                <w:lang w:val="en-US" w:eastAsia="zh-CN"/>
              </w:rPr>
              <w:t>二级活性炭吸附装置</w:t>
            </w:r>
            <w:r>
              <w:rPr>
                <w:rFonts w:hint="default" w:ascii="Times New Roman" w:hAnsi="Times New Roman" w:cs="Times New Roman"/>
                <w:bCs/>
                <w:sz w:val="24"/>
                <w:highlight w:val="none"/>
                <w:lang w:val="en-US" w:eastAsia="zh-CN"/>
              </w:rPr>
              <w:t>处理。活性炭吸附法是以活性炭作为吸附剂，把废气中有机废气吸附到固相表面进行吸附浓缩，从而达到净化废气的方法。活性炭是由各种含碳物质</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如木材、泥煤、果核、椰壳等原料</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在高温下炭化后，再用水蒸气或化学药品</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如氯化锌、氯化锰、氯化钙和磷酸等</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进行活化处理，然后制成的孔隙十分丰富的吸附剂</w:t>
            </w:r>
            <w:r>
              <w:rPr>
                <w:rFonts w:hint="eastAsia" w:ascii="Times New Roman" w:hAnsi="Times New Roman" w:cs="Times New Roman"/>
                <w:bCs/>
                <w:sz w:val="24"/>
                <w:highlight w:val="none"/>
                <w:lang w:val="en-US" w:eastAsia="zh-CN"/>
              </w:rPr>
              <w:t>。</w:t>
            </w:r>
            <w:r>
              <w:rPr>
                <w:rFonts w:hint="default" w:ascii="Times New Roman" w:hAnsi="Times New Roman" w:cs="Times New Roman"/>
                <w:bCs/>
                <w:sz w:val="24"/>
                <w:highlight w:val="none"/>
                <w:lang w:val="en-US" w:eastAsia="zh-CN"/>
              </w:rPr>
              <w:t>活性炭是黑色粉末状或颗粒状的无定形碳</w:t>
            </w:r>
            <w:r>
              <w:rPr>
                <w:rFonts w:hint="eastAsia" w:ascii="Times New Roman" w:hAnsi="Times New Roman" w:cs="Times New Roman"/>
                <w:bCs/>
                <w:sz w:val="24"/>
                <w:highlight w:val="none"/>
                <w:lang w:val="en-US" w:eastAsia="zh-CN"/>
              </w:rPr>
              <w:t>，是</w:t>
            </w:r>
            <w:r>
              <w:rPr>
                <w:rFonts w:hint="default" w:ascii="Times New Roman" w:hAnsi="Times New Roman" w:cs="Times New Roman"/>
                <w:bCs/>
                <w:sz w:val="24"/>
                <w:highlight w:val="none"/>
                <w:lang w:val="en-US" w:eastAsia="zh-CN"/>
              </w:rPr>
              <w:t>一种具有非极性表面、疏水性、亲有机物的吸附剂。活性炭在结构上由于微晶碳是不规则排列，在交叉连接之间有细孔，在活化时会产生碳组织缺陷，因此它是一种多孔</w:t>
            </w:r>
            <w:r>
              <w:rPr>
                <w:rFonts w:hint="eastAsia" w:ascii="Times New Roman" w:hAnsi="Times New Roman" w:cs="Times New Roman"/>
                <w:bCs/>
                <w:sz w:val="24"/>
                <w:highlight w:val="none"/>
                <w:lang w:val="en-US" w:eastAsia="zh-CN"/>
              </w:rPr>
              <w:t>炭</w:t>
            </w:r>
            <w:r>
              <w:rPr>
                <w:rFonts w:hint="default" w:ascii="Times New Roman" w:hAnsi="Times New Roman" w:cs="Times New Roman"/>
                <w:bCs/>
                <w:sz w:val="24"/>
                <w:highlight w:val="none"/>
                <w:lang w:val="en-US" w:eastAsia="zh-CN"/>
              </w:rPr>
              <w:t>，堆积密度低，比表面积大。活性炭</w:t>
            </w:r>
            <w:r>
              <w:rPr>
                <w:rFonts w:hint="eastAsia" w:ascii="Times New Roman" w:hAnsi="Times New Roman" w:cs="Times New Roman"/>
                <w:bCs/>
                <w:sz w:val="24"/>
                <w:highlight w:val="none"/>
                <w:lang w:val="en-US" w:eastAsia="zh-CN"/>
              </w:rPr>
              <w:t>由于其较大</w:t>
            </w:r>
            <w:r>
              <w:rPr>
                <w:rFonts w:hint="default" w:ascii="Times New Roman" w:hAnsi="Times New Roman" w:cs="Times New Roman"/>
                <w:bCs/>
                <w:sz w:val="24"/>
                <w:highlight w:val="none"/>
                <w:lang w:val="en-US" w:eastAsia="zh-CN"/>
              </w:rPr>
              <w:t>的</w:t>
            </w:r>
            <w:r>
              <w:rPr>
                <w:rFonts w:hint="eastAsia" w:ascii="Times New Roman" w:hAnsi="Times New Roman" w:cs="Times New Roman"/>
                <w:bCs/>
                <w:sz w:val="24"/>
                <w:highlight w:val="none"/>
                <w:lang w:val="en-US" w:eastAsia="zh-CN"/>
              </w:rPr>
              <w:t>比</w:t>
            </w:r>
            <w:r>
              <w:rPr>
                <w:rFonts w:hint="default" w:ascii="Times New Roman" w:hAnsi="Times New Roman" w:cs="Times New Roman"/>
                <w:bCs/>
                <w:sz w:val="24"/>
                <w:highlight w:val="none"/>
                <w:lang w:val="en-US" w:eastAsia="zh-CN"/>
              </w:rPr>
              <w:t>表面积，</w:t>
            </w:r>
            <w:r>
              <w:rPr>
                <w:rFonts w:hint="eastAsia" w:ascii="Times New Roman" w:hAnsi="Times New Roman" w:cs="Times New Roman"/>
                <w:bCs/>
                <w:sz w:val="24"/>
                <w:highlight w:val="none"/>
                <w:lang w:val="en-US" w:eastAsia="zh-CN"/>
              </w:rPr>
              <w:t>以及</w:t>
            </w:r>
            <w:r>
              <w:rPr>
                <w:rFonts w:hint="default" w:ascii="Times New Roman" w:hAnsi="Times New Roman" w:cs="Times New Roman"/>
                <w:bCs/>
                <w:sz w:val="24"/>
                <w:highlight w:val="none"/>
                <w:lang w:val="en-US" w:eastAsia="zh-CN"/>
              </w:rPr>
              <w:t>炭粒中</w:t>
            </w:r>
            <w:r>
              <w:rPr>
                <w:rFonts w:hint="eastAsia" w:ascii="Times New Roman" w:hAnsi="Times New Roman" w:cs="Times New Roman"/>
                <w:bCs/>
                <w:sz w:val="24"/>
                <w:highlight w:val="none"/>
                <w:lang w:val="en-US" w:eastAsia="zh-CN"/>
              </w:rPr>
              <w:t>较</w:t>
            </w:r>
            <w:r>
              <w:rPr>
                <w:rFonts w:hint="default" w:ascii="Times New Roman" w:hAnsi="Times New Roman" w:cs="Times New Roman"/>
                <w:bCs/>
                <w:sz w:val="24"/>
                <w:highlight w:val="none"/>
                <w:lang w:val="en-US" w:eastAsia="zh-CN"/>
              </w:rPr>
              <w:t>细小的毛细管</w:t>
            </w:r>
            <w:r>
              <w:rPr>
                <w:rFonts w:hint="eastAsia" w:ascii="Times New Roman" w:hAnsi="Times New Roman" w:cs="Times New Roman"/>
                <w:bCs/>
                <w:sz w:val="24"/>
                <w:highlight w:val="none"/>
                <w:lang w:val="en-US" w:eastAsia="zh-CN"/>
              </w:rPr>
              <w:t>（其孔径平均为（10～40）×10</w:t>
            </w:r>
            <w:r>
              <w:rPr>
                <w:rFonts w:hint="eastAsia" w:ascii="Times New Roman" w:hAnsi="Times New Roman" w:cs="Times New Roman"/>
                <w:bCs/>
                <w:sz w:val="24"/>
                <w:highlight w:val="none"/>
                <w:vertAlign w:val="superscript"/>
                <w:lang w:val="en-US" w:eastAsia="zh-CN"/>
              </w:rPr>
              <w:t>-8</w:t>
            </w:r>
            <w:r>
              <w:rPr>
                <w:rFonts w:hint="eastAsia" w:ascii="Times New Roman" w:hAnsi="Times New Roman" w:cs="Times New Roman"/>
                <w:bCs/>
                <w:sz w:val="24"/>
                <w:highlight w:val="none"/>
                <w:lang w:val="en-US" w:eastAsia="zh-CN"/>
              </w:rPr>
              <w:t>cm，比表面积一般在600～1500m</w:t>
            </w:r>
            <w:r>
              <w:rPr>
                <w:rFonts w:hint="eastAsia" w:ascii="Times New Roman" w:hAnsi="Times New Roman" w:cs="Times New Roman"/>
                <w:bCs/>
                <w:sz w:val="24"/>
                <w:highlight w:val="none"/>
                <w:vertAlign w:val="superscript"/>
                <w:lang w:val="en-US" w:eastAsia="zh-CN"/>
              </w:rPr>
              <w:t>2</w:t>
            </w:r>
            <w:r>
              <w:rPr>
                <w:rFonts w:hint="eastAsia" w:ascii="Times New Roman" w:hAnsi="Times New Roman" w:cs="Times New Roman"/>
                <w:bCs/>
                <w:sz w:val="24"/>
                <w:highlight w:val="none"/>
                <w:lang w:val="en-US" w:eastAsia="zh-CN"/>
              </w:rPr>
              <w:t>/g范围内），</w:t>
            </w:r>
            <w:r>
              <w:rPr>
                <w:rFonts w:hint="default" w:ascii="Times New Roman" w:hAnsi="Times New Roman" w:cs="Times New Roman"/>
                <w:bCs/>
                <w:sz w:val="24"/>
                <w:highlight w:val="none"/>
                <w:lang w:val="en-US" w:eastAsia="zh-CN"/>
              </w:rPr>
              <w:t>能与气体（杂质）充分接触</w:t>
            </w:r>
            <w:r>
              <w:rPr>
                <w:rFonts w:hint="eastAsia" w:ascii="Times New Roman" w:hAnsi="Times New Roman" w:cs="Times New Roman"/>
                <w:bCs/>
                <w:sz w:val="24"/>
                <w:highlight w:val="none"/>
                <w:lang w:val="en-US" w:eastAsia="zh-CN"/>
              </w:rPr>
              <w:t>，因此</w:t>
            </w:r>
            <w:r>
              <w:rPr>
                <w:rFonts w:hint="default" w:ascii="Times New Roman" w:hAnsi="Times New Roman" w:cs="Times New Roman"/>
                <w:bCs/>
                <w:sz w:val="24"/>
                <w:highlight w:val="none"/>
                <w:lang w:val="en-US" w:eastAsia="zh-CN"/>
              </w:rPr>
              <w:t>常常被用来吸附回收空气中的有机</w:t>
            </w:r>
            <w:r>
              <w:rPr>
                <w:rFonts w:hint="eastAsia" w:ascii="Times New Roman" w:hAnsi="Times New Roman" w:cs="Times New Roman"/>
                <w:bCs/>
                <w:sz w:val="24"/>
                <w:highlight w:val="none"/>
                <w:lang w:val="en-US" w:eastAsia="zh-CN"/>
              </w:rPr>
              <w:t>污染物。活性炭还</w:t>
            </w:r>
            <w:r>
              <w:rPr>
                <w:rFonts w:hint="default" w:ascii="Times New Roman" w:hAnsi="Times New Roman" w:cs="Times New Roman"/>
                <w:bCs/>
                <w:sz w:val="24"/>
                <w:highlight w:val="none"/>
                <w:lang w:val="en-US" w:eastAsia="zh-CN"/>
              </w:rPr>
              <w:t>可以根据需要制成不同性状和粒度，如粉末活性炭、颗粒活性炭及柱状活性炭。</w:t>
            </w:r>
          </w:p>
          <w:p w14:paraId="02247FE8">
            <w:pPr>
              <w:widowControl/>
              <w:spacing w:before="120" w:beforeLines="50" w:line="360" w:lineRule="auto"/>
              <w:ind w:firstLine="480" w:firstLineChars="200"/>
              <w:jc w:val="left"/>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根据《排污许可证申请与核发技术规范印刷工业》（HJ1066-2019）表A.1废气治理可行技术参考表，调墨、供墨、凹版印刷、平版印刷、凸版（柔版）印刷、孔版印刷、复合</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覆膜</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、涂布等工序产生的有机废气当挥发性有机物浓度＜1000mg/m3时，废气处理可行技术包括：集气设施或密闭车间、</w:t>
            </w:r>
            <w:r>
              <w:rPr>
                <w:rFonts w:hint="default" w:ascii="Times New Roman" w:hAnsi="Times New Roman" w:cs="Times New Roman"/>
                <w:b/>
                <w:bCs w:val="0"/>
                <w:color w:val="auto"/>
                <w:sz w:val="24"/>
                <w:highlight w:val="none"/>
                <w:lang w:val="en-US" w:eastAsia="zh-CN"/>
              </w:rPr>
              <w:t>活性炭吸附</w:t>
            </w:r>
            <w:r>
              <w:rPr>
                <w:rFonts w:hint="default" w:ascii="Times New Roman" w:hAnsi="Times New Roman" w:cs="Times New Roman"/>
                <w:bCs/>
                <w:color w:val="auto"/>
                <w:sz w:val="24"/>
                <w:highlight w:val="none"/>
                <w:lang w:val="en-US" w:eastAsia="zh-CN"/>
              </w:rPr>
              <w:t>、浓缩+热力（催化）氧化、直接热力（催化）氧化等，项目采用“活性炭吸附”装置对油墨调配、印刷、印刷机擦拭</w:t>
            </w:r>
            <w:r>
              <w:rPr>
                <w:rFonts w:hint="eastAsia" w:ascii="Times New Roman" w:hAnsi="Times New Roman" w:cs="Times New Roman"/>
                <w:bCs/>
                <w:color w:val="auto"/>
                <w:sz w:val="24"/>
                <w:highlight w:val="none"/>
                <w:lang w:val="en-US" w:eastAsia="zh-CN"/>
              </w:rPr>
              <w:t>等产生的</w:t>
            </w:r>
            <w:r>
              <w:rPr>
                <w:rFonts w:hint="default" w:ascii="Times New Roman" w:hAnsi="Times New Roman" w:cs="Times New Roman"/>
                <w:bCs/>
                <w:color w:val="auto"/>
                <w:sz w:val="24"/>
                <w:highlight w:val="none"/>
                <w:lang w:val="en-US" w:eastAsia="zh-CN"/>
              </w:rPr>
              <w:t>废气进行治理，属于可行性技术。</w:t>
            </w:r>
          </w:p>
          <w:p w14:paraId="40AF19F2">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（4）废气治理措施运行管理要求</w:t>
            </w:r>
          </w:p>
          <w:p w14:paraId="58573398">
            <w:pPr>
              <w:widowControl/>
              <w:spacing w:before="120" w:beforeLines="50" w:line="360" w:lineRule="auto"/>
              <w:ind w:firstLine="480" w:firstLineChars="200"/>
              <w:jc w:val="left"/>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为了能够有效收集、处理项目生产过程中各种废气，确保各污染治理措施的运行稳定及处理效果，项目废气处理设施应加强运维管理，措施如下：</w:t>
            </w:r>
          </w:p>
          <w:p w14:paraId="52E3B704">
            <w:pPr>
              <w:widowControl/>
              <w:spacing w:before="120" w:beforeLines="50" w:line="360" w:lineRule="auto"/>
              <w:ind w:firstLine="480" w:firstLineChars="200"/>
              <w:jc w:val="left"/>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A.废气治理措施应按照规范设计建设，集气措施应确保废气的有效收集；废气污染防治设施应先调试、运行稳定后方可投产。</w:t>
            </w:r>
          </w:p>
          <w:p w14:paraId="0D4FE36B">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B.设备运行中，应设专人负责进行管理，并做好运行记录。管理人员应熟悉环保设施的运行原理、性能、使用条件，并掌握运行参数的调整和设备检查、维护方法。</w:t>
            </w:r>
          </w:p>
          <w:p w14:paraId="427D5CAC">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C.定期检查设备运行情况，损坏的零部件根据需要及时更换，其他设备若损坏，应及时维修或更换。</w:t>
            </w:r>
          </w:p>
          <w:p w14:paraId="5140F373">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D.各污染防治设施应专人负责日常运行、管理，并做好废气运行记录，同时建立健全固废管理台账。应建立危险废物台账记录制度，台账记录应包含活性炭的更换量、更换时间、废活性炭委托处置量等内容。</w:t>
            </w:r>
          </w:p>
          <w:p w14:paraId="3B6024B5">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E.项目二级活性炭吸附装置应选择碘值不低于800毫克/克的活性炭，并按设计要求足量添加、及时更换，产生的废活性炭应存放于专用的密闭容器中，以减少贮存过程中吸附废气的重新挥发。</w:t>
            </w:r>
          </w:p>
          <w:p w14:paraId="69EDA864">
            <w:pPr>
              <w:numPr>
                <w:ilvl w:val="0"/>
                <w:numId w:val="0"/>
              </w:numPr>
              <w:spacing w:before="120" w:beforeLines="50" w:line="360" w:lineRule="auto"/>
              <w:ind w:left="0" w:leftChars="0" w:firstLine="480" w:firstLineChars="200"/>
              <w:rPr>
                <w:rFonts w:hint="default" w:ascii="Times New Roman" w:hAnsi="Times New Roman" w:cs="Times New Roman"/>
                <w:bCs/>
                <w:sz w:val="24"/>
                <w:highlight w:val="none"/>
                <w:lang w:val="en-US" w:eastAsia="zh-CN"/>
              </w:rPr>
            </w:pPr>
            <w:r>
              <w:rPr>
                <w:rFonts w:hint="default" w:ascii="Times New Roman" w:hAnsi="Times New Roman" w:eastAsia="Arial" w:cs="Times New Roman"/>
                <w:bCs/>
                <w:snapToGrid w:val="0"/>
                <w:color w:val="000000"/>
                <w:kern w:val="0"/>
                <w:sz w:val="24"/>
                <w:szCs w:val="21"/>
                <w:lang w:val="en-US" w:eastAsia="zh-CN"/>
              </w:rPr>
              <w:t>（</w:t>
            </w:r>
            <w:r>
              <w:rPr>
                <w:rFonts w:hint="eastAsia" w:ascii="Times New Roman" w:hAnsi="Times New Roman" w:cs="Times New Roman"/>
                <w:bCs/>
                <w:snapToGrid w:val="0"/>
                <w:color w:val="000000"/>
                <w:kern w:val="0"/>
                <w:sz w:val="24"/>
                <w:szCs w:val="21"/>
                <w:lang w:val="en-US" w:eastAsia="zh-CN"/>
              </w:rPr>
              <w:t>5</w:t>
            </w:r>
            <w:r>
              <w:rPr>
                <w:rFonts w:hint="default" w:ascii="Times New Roman" w:hAnsi="Times New Roman" w:eastAsia="Arial" w:cs="Times New Roman"/>
                <w:bCs/>
                <w:snapToGrid w:val="0"/>
                <w:color w:val="000000"/>
                <w:kern w:val="0"/>
                <w:sz w:val="24"/>
                <w:szCs w:val="21"/>
                <w:lang w:val="en-US" w:eastAsia="zh-CN"/>
              </w:rPr>
              <w:t>）</w:t>
            </w:r>
            <w:r>
              <w:rPr>
                <w:rFonts w:hint="default" w:ascii="Times New Roman" w:hAnsi="Times New Roman" w:cs="Times New Roman"/>
                <w:bCs/>
                <w:sz w:val="24"/>
                <w:highlight w:val="none"/>
                <w:lang w:val="en-US" w:eastAsia="zh-CN"/>
              </w:rPr>
              <w:t>非正常情况排放量核算</w:t>
            </w:r>
          </w:p>
          <w:p w14:paraId="38988D4F">
            <w:pPr>
              <w:spacing w:before="120" w:beforeLines="50" w:line="360" w:lineRule="auto"/>
              <w:ind w:firstLine="480" w:firstLineChars="200"/>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项目非正常工况指生产过程中设备检修、工艺设备运转异常等非正常工况下的污染物排放，以及污染物排放控制措施达不到应有效率等情况下的排放。本项目非正常排放考虑废气处理设施发生故障处理效率为0。根据前述分析，项目非正常工况污染物排放情况核算内容见表4</w:t>
            </w:r>
            <w:r>
              <w:rPr>
                <w:rFonts w:hint="eastAsia" w:ascii="Times New Roman" w:hAnsi="Times New Roman" w:cs="Times New Roman"/>
                <w:bCs/>
                <w:sz w:val="24"/>
                <w:highlight w:val="none"/>
                <w:lang w:val="en-US" w:eastAsia="zh-CN"/>
              </w:rPr>
              <w:t>.2-8</w:t>
            </w:r>
            <w:r>
              <w:rPr>
                <w:rFonts w:hint="default" w:ascii="Times New Roman" w:hAnsi="Times New Roman" w:cs="Times New Roman"/>
                <w:bCs/>
                <w:sz w:val="24"/>
                <w:highlight w:val="none"/>
                <w:lang w:val="en-US" w:eastAsia="zh-CN"/>
              </w:rPr>
              <w:t>。</w:t>
            </w:r>
          </w:p>
          <w:p w14:paraId="554B5D06">
            <w:pPr>
              <w:spacing w:before="120" w:beforeLines="50"/>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表4</w:t>
            </w:r>
            <w:r>
              <w:rPr>
                <w:rFonts w:hint="eastAsia" w:ascii="Times New Roman" w:hAnsi="Times New Roman" w:eastAsia="宋体" w:cs="Times New Roman"/>
                <w:b/>
                <w:bCs/>
                <w:sz w:val="24"/>
                <w:highlight w:val="none"/>
                <w:lang w:val="en-US" w:eastAsia="zh-CN"/>
              </w:rPr>
              <w:t>.2-8</w:t>
            </w:r>
            <w:r>
              <w:rPr>
                <w:rFonts w:hint="default" w:ascii="Times New Roman" w:hAnsi="Times New Roman" w:cs="Times New Roman"/>
                <w:b/>
                <w:bCs/>
                <w:sz w:val="24"/>
                <w:highlight w:val="none"/>
              </w:rPr>
              <w:t xml:space="preserve"> 项目污染源非正常排放核算表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26"/>
              <w:gridCol w:w="1094"/>
              <w:gridCol w:w="989"/>
              <w:gridCol w:w="1026"/>
              <w:gridCol w:w="879"/>
              <w:gridCol w:w="803"/>
              <w:gridCol w:w="878"/>
              <w:gridCol w:w="832"/>
            </w:tblGrid>
            <w:tr w14:paraId="3512F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1" w:type="dxa"/>
                  <w:vAlign w:val="center"/>
                </w:tcPr>
                <w:p w14:paraId="3F251757">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926" w:type="dxa"/>
                  <w:vAlign w:val="center"/>
                </w:tcPr>
                <w:p w14:paraId="6D7E60FD">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污染源</w:t>
                  </w:r>
                </w:p>
              </w:tc>
              <w:tc>
                <w:tcPr>
                  <w:tcW w:w="1094" w:type="dxa"/>
                  <w:vAlign w:val="center"/>
                </w:tcPr>
                <w:p w14:paraId="0DEA7163">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非正常排放原因</w:t>
                  </w:r>
                </w:p>
              </w:tc>
              <w:tc>
                <w:tcPr>
                  <w:tcW w:w="989" w:type="dxa"/>
                  <w:vAlign w:val="center"/>
                </w:tcPr>
                <w:p w14:paraId="6EA65AEA">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污染物</w:t>
                  </w:r>
                </w:p>
              </w:tc>
              <w:tc>
                <w:tcPr>
                  <w:tcW w:w="1026" w:type="dxa"/>
                  <w:vAlign w:val="center"/>
                </w:tcPr>
                <w:p w14:paraId="4127F201">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非正常排放浓度</w:t>
                  </w:r>
                </w:p>
                <w:p w14:paraId="2C38EBE9">
                  <w:pPr>
                    <w:spacing w:line="340" w:lineRule="exact"/>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mg/m</w:t>
                  </w:r>
                  <w:r>
                    <w:rPr>
                      <w:rFonts w:hint="default" w:ascii="Times New Roman" w:hAnsi="Times New Roman" w:cs="Times New Roman"/>
                      <w:szCs w:val="21"/>
                      <w:highlight w:val="none"/>
                      <w:vertAlign w:val="superscript"/>
                    </w:rPr>
                    <w:t>3</w:t>
                  </w:r>
                  <w:r>
                    <w:rPr>
                      <w:rFonts w:hint="eastAsia" w:ascii="Times New Roman" w:hAnsi="Times New Roman" w:eastAsia="宋体" w:cs="Times New Roman"/>
                      <w:szCs w:val="21"/>
                      <w:highlight w:val="none"/>
                      <w:vertAlign w:val="superscript"/>
                      <w:lang w:eastAsia="zh-CN"/>
                    </w:rPr>
                    <w:t>)</w:t>
                  </w:r>
                </w:p>
              </w:tc>
              <w:tc>
                <w:tcPr>
                  <w:tcW w:w="879" w:type="dxa"/>
                  <w:vAlign w:val="center"/>
                </w:tcPr>
                <w:p w14:paraId="3C29EEF4">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非正常排放速率</w:t>
                  </w:r>
                </w:p>
                <w:p w14:paraId="68E07E7D">
                  <w:pPr>
                    <w:spacing w:line="340" w:lineRule="exact"/>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kg/h</w:t>
                  </w:r>
                  <w:r>
                    <w:rPr>
                      <w:rFonts w:hint="eastAsia" w:ascii="Times New Roman" w:hAnsi="Times New Roman" w:eastAsia="宋体" w:cs="Times New Roman"/>
                      <w:szCs w:val="21"/>
                      <w:highlight w:val="none"/>
                      <w:lang w:eastAsia="zh-CN"/>
                    </w:rPr>
                    <w:t>)</w:t>
                  </w:r>
                </w:p>
              </w:tc>
              <w:tc>
                <w:tcPr>
                  <w:tcW w:w="803" w:type="dxa"/>
                  <w:vAlign w:val="center"/>
                </w:tcPr>
                <w:p w14:paraId="6A798A02">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单次持续时间</w:t>
                  </w:r>
                </w:p>
                <w:p w14:paraId="4DF7150E">
                  <w:pPr>
                    <w:spacing w:line="340" w:lineRule="exact"/>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h</w:t>
                  </w:r>
                  <w:r>
                    <w:rPr>
                      <w:rFonts w:hint="eastAsia" w:ascii="Times New Roman" w:hAnsi="Times New Roman" w:eastAsia="宋体" w:cs="Times New Roman"/>
                      <w:szCs w:val="21"/>
                      <w:highlight w:val="none"/>
                      <w:lang w:eastAsia="zh-CN"/>
                    </w:rPr>
                    <w:t>)</w:t>
                  </w:r>
                </w:p>
              </w:tc>
              <w:tc>
                <w:tcPr>
                  <w:tcW w:w="878" w:type="dxa"/>
                  <w:vAlign w:val="center"/>
                </w:tcPr>
                <w:p w14:paraId="42075C33">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年发生频次</w:t>
                  </w:r>
                </w:p>
                <w:p w14:paraId="4AEEF2C8">
                  <w:pPr>
                    <w:spacing w:line="340" w:lineRule="exact"/>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w:t>
                  </w:r>
                  <w:r>
                    <w:rPr>
                      <w:rFonts w:hint="default" w:ascii="Times New Roman" w:hAnsi="Times New Roman" w:cs="Times New Roman"/>
                      <w:szCs w:val="21"/>
                      <w:highlight w:val="none"/>
                    </w:rPr>
                    <w:t>次</w:t>
                  </w:r>
                  <w:r>
                    <w:rPr>
                      <w:rFonts w:hint="eastAsia" w:ascii="Times New Roman" w:hAnsi="Times New Roman" w:eastAsia="宋体" w:cs="Times New Roman"/>
                      <w:szCs w:val="21"/>
                      <w:highlight w:val="none"/>
                      <w:lang w:eastAsia="zh-CN"/>
                    </w:rPr>
                    <w:t>）</w:t>
                  </w:r>
                </w:p>
              </w:tc>
              <w:tc>
                <w:tcPr>
                  <w:tcW w:w="832" w:type="dxa"/>
                  <w:vAlign w:val="center"/>
                </w:tcPr>
                <w:p w14:paraId="62F726C5">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应对</w:t>
                  </w:r>
                </w:p>
                <w:p w14:paraId="0DAD7767">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措施</w:t>
                  </w:r>
                </w:p>
              </w:tc>
            </w:tr>
            <w:tr w14:paraId="6B580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Align w:val="center"/>
                </w:tcPr>
                <w:p w14:paraId="17409C66">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926" w:type="dxa"/>
                  <w:vAlign w:val="center"/>
                </w:tcPr>
                <w:p w14:paraId="23284B0A">
                  <w:pPr>
                    <w:widowControl/>
                    <w:spacing w:line="340" w:lineRule="exact"/>
                    <w:jc w:val="center"/>
                    <w:rPr>
                      <w:rFonts w:hint="default" w:ascii="Times New Roman" w:hAnsi="Times New Roman" w:cs="Times New Roman"/>
                      <w:szCs w:val="21"/>
                      <w:highlight w:val="none"/>
                    </w:rPr>
                  </w:pPr>
                  <w:r>
                    <w:rPr>
                      <w:rFonts w:hint="default" w:ascii="Times New Roman" w:hAnsi="Times New Roman" w:cs="Times New Roman"/>
                      <w:color w:val="000000"/>
                      <w:kern w:val="0"/>
                      <w:szCs w:val="21"/>
                      <w:highlight w:val="none"/>
                    </w:rPr>
                    <w:t>DA001</w:t>
                  </w:r>
                </w:p>
              </w:tc>
              <w:tc>
                <w:tcPr>
                  <w:tcW w:w="1094" w:type="dxa"/>
                  <w:vAlign w:val="center"/>
                </w:tcPr>
                <w:p w14:paraId="65C58B63">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处理设施故障</w:t>
                  </w:r>
                </w:p>
              </w:tc>
              <w:tc>
                <w:tcPr>
                  <w:tcW w:w="989" w:type="dxa"/>
                  <w:vAlign w:val="center"/>
                </w:tcPr>
                <w:p w14:paraId="19B89D39">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非甲烷总烃</w:t>
                  </w:r>
                </w:p>
              </w:tc>
              <w:tc>
                <w:tcPr>
                  <w:tcW w:w="1026" w:type="dxa"/>
                  <w:vAlign w:val="center"/>
                </w:tcPr>
                <w:p w14:paraId="41FE13D1">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1.47</w:t>
                  </w:r>
                </w:p>
              </w:tc>
              <w:tc>
                <w:tcPr>
                  <w:tcW w:w="879" w:type="dxa"/>
                  <w:vAlign w:val="center"/>
                </w:tcPr>
                <w:p w14:paraId="28F01242">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iCs w:val="0"/>
                      <w:color w:val="auto"/>
                      <w:kern w:val="0"/>
                      <w:sz w:val="20"/>
                      <w:szCs w:val="20"/>
                      <w:highlight w:val="none"/>
                      <w:u w:val="none"/>
                      <w:lang w:val="en-US" w:eastAsia="zh-CN" w:bidi="ar"/>
                    </w:rPr>
                    <w:t>147</w:t>
                  </w:r>
                </w:p>
              </w:tc>
              <w:tc>
                <w:tcPr>
                  <w:tcW w:w="803" w:type="dxa"/>
                  <w:vAlign w:val="center"/>
                </w:tcPr>
                <w:p w14:paraId="5266D095">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0.5</w:t>
                  </w:r>
                </w:p>
              </w:tc>
              <w:tc>
                <w:tcPr>
                  <w:tcW w:w="878" w:type="dxa"/>
                  <w:vAlign w:val="center"/>
                </w:tcPr>
                <w:p w14:paraId="13F03510">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832" w:type="dxa"/>
                  <w:vAlign w:val="center"/>
                </w:tcPr>
                <w:p w14:paraId="33261993">
                  <w:pPr>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停产检修</w:t>
                  </w:r>
                </w:p>
              </w:tc>
            </w:tr>
          </w:tbl>
          <w:p w14:paraId="7BDDA4F9">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废气污染物排放控制措施达不到应有效率时，应立即停止相关产污环节，并派专人负责维修。</w:t>
            </w:r>
          </w:p>
          <w:p w14:paraId="6B13EB3E">
            <w:pPr>
              <w:pStyle w:val="37"/>
              <w:spacing w:before="177" w:line="360" w:lineRule="auto"/>
              <w:ind w:left="3"/>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b/>
                <w:bCs/>
                <w:spacing w:val="-2"/>
                <w:highlight w:val="none"/>
                <w:lang w:val="en-US" w:eastAsia="zh-CN"/>
              </w:rPr>
              <w:t>4.2.3.1 无组织废气治理措施可行性分析</w:t>
            </w:r>
          </w:p>
          <w:p w14:paraId="33000869">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项目无组织废气主要为集气装置未能收集的部分废气。根据《排污许可证申请与核发技术规范印刷工业》（HJ1066-2019）、《挥发性有机物无组织排放控制标准》（GB37822-2019）等标准，建设单位对废气无组织排放采取以下控制措施来减少作业中有机废气、恶臭等对周边环境产生的影响：</w:t>
            </w:r>
          </w:p>
          <w:p w14:paraId="53EB4B6E">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A.项目废气集气措施应合理设计，并按要求施工建设，集气口应尽量靠近设备产污点，且要求集气罩吸入口风速大于0.5m/s，确保废气有效收集。</w:t>
            </w:r>
          </w:p>
          <w:p w14:paraId="3623E7E7">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B.加强生产管理和规范操作，废气污染防治设施应先于生产设施启动，后于生产设施停止，在运营生产期间应加强生产设备及环保设施的日常维护，避免事故发生，保证设施的正常运行。废气收集处理系统相对生产设备先启后停，废气收集处理系统发生故障或检修时，对应的生产工艺设备应停止运行，待检修完毕后投入使用。</w:t>
            </w:r>
          </w:p>
          <w:p w14:paraId="4EE3B4D2">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C.建立台账，记录含VOCs原辅材料和含VOCs产品的名称，使用量、回收量、废弃量、去向以及VOCs含量等信息，台账保存期限不小于5年。</w:t>
            </w:r>
          </w:p>
          <w:p w14:paraId="4077DBDE">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D.载有VOCs物料的设备在开停工（车）、检维修和清洗时，应在退料阶段将残存物料清净，并用密闭容器盛装，退料过程废气应排至VOCs废气收集处理系统；清扫及吹扫过程排气应排至VOCs废气收集处理系统。</w:t>
            </w:r>
          </w:p>
          <w:p w14:paraId="52D596B2">
            <w:pPr>
              <w:widowControl/>
              <w:spacing w:before="120" w:beforeLines="50" w:line="360" w:lineRule="auto"/>
              <w:ind w:firstLine="480" w:firstLineChars="200"/>
              <w:jc w:val="left"/>
              <w:rPr>
                <w:rFonts w:hint="eastAsia" w:ascii="Times New Roman" w:hAnsi="Times New Roman" w:cs="Times New Roman"/>
                <w:bCs/>
                <w:sz w:val="24"/>
                <w:highlight w:val="none"/>
                <w:lang w:val="en-US" w:eastAsia="zh-CN"/>
              </w:rPr>
            </w:pPr>
            <w:r>
              <w:rPr>
                <w:rFonts w:hint="eastAsia" w:ascii="Times New Roman" w:hAnsi="Times New Roman" w:cs="Times New Roman"/>
                <w:bCs/>
                <w:sz w:val="24"/>
                <w:highlight w:val="none"/>
                <w:lang w:val="en-US" w:eastAsia="zh-CN"/>
              </w:rPr>
              <w:t>E.工艺过程产生的含VOCs废料（渣、液），如本项目产生的废活性炭等在贮存、转运过程中应密闭。生产过程中产生的危废收集后暂存于危废贮存库内，危废贮存库日常密闭，并及时委托有资质的单位上门进行清运，尽量缩短在厂内暂存时间。</w:t>
            </w:r>
          </w:p>
          <w:p w14:paraId="6D231CF9">
            <w:pPr>
              <w:widowControl/>
              <w:spacing w:before="120" w:beforeLines="50" w:line="360" w:lineRule="auto"/>
              <w:ind w:firstLine="480" w:firstLineChars="200"/>
              <w:jc w:val="left"/>
              <w:rPr>
                <w:rFonts w:hint="default" w:ascii="Times New Roman" w:hAnsi="Times New Roman" w:cs="Times New Roman"/>
                <w:bCs/>
                <w:sz w:val="24"/>
                <w:highlight w:val="none"/>
                <w:lang w:val="en-US" w:eastAsia="zh-CN"/>
              </w:rPr>
            </w:pPr>
            <w:r>
              <w:rPr>
                <w:rFonts w:hint="default" w:ascii="Times New Roman" w:hAnsi="Times New Roman" w:cs="Times New Roman"/>
                <w:bCs/>
                <w:sz w:val="24"/>
                <w:highlight w:val="none"/>
                <w:lang w:val="en-US" w:eastAsia="zh-CN"/>
              </w:rPr>
              <w:t>综上所述，建设单位在切实落实本项目提出废气环保措施，并确保项目废气设施正常运转的情况下，项目废气排放源强较低，对周边大气环境及敏感目标影响较小，采取的措施合理可行。</w:t>
            </w:r>
          </w:p>
          <w:p w14:paraId="0D851563">
            <w:pPr>
              <w:pStyle w:val="7"/>
              <w:spacing w:line="360" w:lineRule="auto"/>
              <w:ind w:firstLine="480" w:firstLineChars="200"/>
              <w:jc w:val="both"/>
              <w:rPr>
                <w:rFonts w:hint="default" w:ascii="Times New Roman" w:hAnsi="Times New Roman" w:cs="Times New Roman"/>
                <w:color w:val="000000"/>
                <w:szCs w:val="24"/>
                <w:highlight w:val="none"/>
              </w:rPr>
            </w:pPr>
            <w:r>
              <w:rPr>
                <w:rFonts w:hint="default" w:ascii="Times New Roman" w:hAnsi="Times New Roman" w:cs="Times New Roman"/>
                <w:color w:val="000000"/>
                <w:szCs w:val="24"/>
                <w:highlight w:val="none"/>
              </w:rPr>
              <w:t>项目废气治理设施基本情况见表4</w:t>
            </w:r>
            <w:r>
              <w:rPr>
                <w:rFonts w:hint="eastAsia" w:cs="Times New Roman"/>
                <w:color w:val="000000"/>
                <w:szCs w:val="24"/>
                <w:highlight w:val="none"/>
                <w:lang w:val="en-US" w:eastAsia="zh-CN"/>
              </w:rPr>
              <w:t>.2-9</w:t>
            </w:r>
            <w:r>
              <w:rPr>
                <w:rFonts w:hint="default" w:ascii="Times New Roman" w:hAnsi="Times New Roman" w:cs="Times New Roman"/>
                <w:color w:val="000000"/>
                <w:szCs w:val="24"/>
                <w:highlight w:val="none"/>
              </w:rPr>
              <w:t>。</w:t>
            </w:r>
          </w:p>
          <w:p w14:paraId="442DB544">
            <w:pPr>
              <w:spacing w:before="120" w:beforeLines="50"/>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表4</w:t>
            </w:r>
            <w:r>
              <w:rPr>
                <w:rFonts w:hint="eastAsia" w:ascii="Times New Roman" w:hAnsi="Times New Roman" w:eastAsia="宋体" w:cs="Times New Roman"/>
                <w:b/>
                <w:bCs/>
                <w:sz w:val="24"/>
                <w:highlight w:val="none"/>
                <w:lang w:val="en-US" w:eastAsia="zh-CN"/>
              </w:rPr>
              <w:t>.2</w:t>
            </w:r>
            <w:r>
              <w:rPr>
                <w:rFonts w:hint="eastAsia" w:ascii="Times New Roman" w:hAnsi="Times New Roman" w:cs="Times New Roman"/>
                <w:b/>
                <w:bCs/>
                <w:sz w:val="24"/>
                <w:highlight w:val="none"/>
                <w:lang w:val="en-US" w:eastAsia="zh-CN"/>
              </w:rPr>
              <w:t>-9</w:t>
            </w:r>
            <w:r>
              <w:rPr>
                <w:rFonts w:hint="default" w:ascii="Times New Roman" w:hAnsi="Times New Roman" w:cs="Times New Roman"/>
                <w:b/>
                <w:bCs/>
                <w:sz w:val="24"/>
                <w:highlight w:val="none"/>
              </w:rPr>
              <w:t xml:space="preserve"> 废气治理设施基本情况一览表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80"/>
              <w:gridCol w:w="933"/>
              <w:gridCol w:w="1200"/>
              <w:gridCol w:w="947"/>
              <w:gridCol w:w="960"/>
              <w:gridCol w:w="853"/>
              <w:gridCol w:w="1124"/>
            </w:tblGrid>
            <w:tr w14:paraId="0488F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restart"/>
                  <w:vAlign w:val="center"/>
                </w:tcPr>
                <w:p w14:paraId="4C80F31B">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产排污</w:t>
                  </w:r>
                </w:p>
                <w:p w14:paraId="3C81855A">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环节</w:t>
                  </w:r>
                </w:p>
              </w:tc>
              <w:tc>
                <w:tcPr>
                  <w:tcW w:w="1280" w:type="dxa"/>
                  <w:vMerge w:val="restart"/>
                  <w:vAlign w:val="center"/>
                </w:tcPr>
                <w:p w14:paraId="3130E544">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污染物</w:t>
                  </w:r>
                </w:p>
                <w:p w14:paraId="6BDAB1DC">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种类</w:t>
                  </w:r>
                </w:p>
              </w:tc>
              <w:tc>
                <w:tcPr>
                  <w:tcW w:w="6017" w:type="dxa"/>
                  <w:gridSpan w:val="6"/>
                  <w:vAlign w:val="center"/>
                </w:tcPr>
                <w:p w14:paraId="1E93127A">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治理设施</w:t>
                  </w:r>
                </w:p>
              </w:tc>
            </w:tr>
            <w:tr w14:paraId="054FF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Merge w:val="continue"/>
                  <w:vAlign w:val="center"/>
                </w:tcPr>
                <w:p w14:paraId="492EDE40">
                  <w:pPr>
                    <w:spacing w:line="340" w:lineRule="exact"/>
                    <w:jc w:val="center"/>
                    <w:rPr>
                      <w:rFonts w:hint="default" w:ascii="Times New Roman" w:hAnsi="Times New Roman" w:cs="Times New Roman"/>
                      <w:color w:val="000000"/>
                      <w:szCs w:val="21"/>
                      <w:highlight w:val="none"/>
                    </w:rPr>
                  </w:pPr>
                </w:p>
              </w:tc>
              <w:tc>
                <w:tcPr>
                  <w:tcW w:w="1280" w:type="dxa"/>
                  <w:vMerge w:val="continue"/>
                  <w:vAlign w:val="center"/>
                </w:tcPr>
                <w:p w14:paraId="734D830A">
                  <w:pPr>
                    <w:spacing w:line="340" w:lineRule="exact"/>
                    <w:jc w:val="center"/>
                    <w:rPr>
                      <w:rFonts w:hint="default" w:ascii="Times New Roman" w:hAnsi="Times New Roman" w:cs="Times New Roman"/>
                      <w:color w:val="000000"/>
                      <w:szCs w:val="21"/>
                      <w:highlight w:val="none"/>
                    </w:rPr>
                  </w:pPr>
                </w:p>
              </w:tc>
              <w:tc>
                <w:tcPr>
                  <w:tcW w:w="933" w:type="dxa"/>
                  <w:vAlign w:val="center"/>
                </w:tcPr>
                <w:p w14:paraId="242CD123">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排放方式</w:t>
                  </w:r>
                </w:p>
              </w:tc>
              <w:tc>
                <w:tcPr>
                  <w:tcW w:w="1200" w:type="dxa"/>
                  <w:vAlign w:val="center"/>
                </w:tcPr>
                <w:p w14:paraId="72AF3D97">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处理能力</w:t>
                  </w:r>
                </w:p>
              </w:tc>
              <w:tc>
                <w:tcPr>
                  <w:tcW w:w="947" w:type="dxa"/>
                  <w:vAlign w:val="center"/>
                </w:tcPr>
                <w:p w14:paraId="399AC6BC">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收集效率</w:t>
                  </w:r>
                </w:p>
              </w:tc>
              <w:tc>
                <w:tcPr>
                  <w:tcW w:w="960" w:type="dxa"/>
                  <w:vAlign w:val="center"/>
                </w:tcPr>
                <w:p w14:paraId="61C0422E">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治理工艺</w:t>
                  </w:r>
                </w:p>
              </w:tc>
              <w:tc>
                <w:tcPr>
                  <w:tcW w:w="853" w:type="dxa"/>
                  <w:vAlign w:val="center"/>
                </w:tcPr>
                <w:p w14:paraId="5D9F821F">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去除率</w:t>
                  </w:r>
                </w:p>
              </w:tc>
              <w:tc>
                <w:tcPr>
                  <w:tcW w:w="1124" w:type="dxa"/>
                  <w:vAlign w:val="center"/>
                </w:tcPr>
                <w:p w14:paraId="5B57E2C4">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是否可行性技术</w:t>
                  </w:r>
                </w:p>
              </w:tc>
            </w:tr>
            <w:tr w14:paraId="63CC6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 w:type="dxa"/>
                  <w:vAlign w:val="center"/>
                </w:tcPr>
                <w:p w14:paraId="0099A931">
                  <w:pPr>
                    <w:spacing w:line="340" w:lineRule="exact"/>
                    <w:jc w:val="center"/>
                    <w:rPr>
                      <w:rFonts w:hint="eastAsia" w:ascii="Times New Roman" w:hAnsi="Times New Roman" w:eastAsia="宋体" w:cs="Times New Roman"/>
                      <w:color w:val="000000"/>
                      <w:szCs w:val="21"/>
                      <w:highlight w:val="none"/>
                      <w:lang w:eastAsia="zh-CN"/>
                    </w:rPr>
                  </w:pPr>
                  <w:r>
                    <w:rPr>
                      <w:rFonts w:hint="eastAsia" w:ascii="Times New Roman" w:hAnsi="Times New Roman" w:eastAsia="宋体" w:cs="Times New Roman"/>
                      <w:color w:val="000000"/>
                      <w:szCs w:val="21"/>
                      <w:highlight w:val="none"/>
                      <w:lang w:val="en-US" w:eastAsia="zh-CN"/>
                    </w:rPr>
                    <w:t>印刷</w:t>
                  </w:r>
                </w:p>
              </w:tc>
              <w:tc>
                <w:tcPr>
                  <w:tcW w:w="1280" w:type="dxa"/>
                  <w:vAlign w:val="center"/>
                </w:tcPr>
                <w:p w14:paraId="558D7AA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非甲烷总烃</w:t>
                  </w:r>
                </w:p>
              </w:tc>
              <w:tc>
                <w:tcPr>
                  <w:tcW w:w="933" w:type="dxa"/>
                  <w:vAlign w:val="center"/>
                </w:tcPr>
                <w:p w14:paraId="1BA7C58E">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有组织</w:t>
                  </w:r>
                </w:p>
              </w:tc>
              <w:tc>
                <w:tcPr>
                  <w:tcW w:w="1200" w:type="dxa"/>
                  <w:vAlign w:val="center"/>
                </w:tcPr>
                <w:p w14:paraId="13BDDCE6">
                  <w:pPr>
                    <w:spacing w:line="340" w:lineRule="exact"/>
                    <w:jc w:val="center"/>
                    <w:rPr>
                      <w:rFonts w:hint="default" w:ascii="Times New Roman" w:hAnsi="Times New Roman" w:cs="Times New Roman"/>
                      <w:color w:val="000000"/>
                      <w:szCs w:val="21"/>
                      <w:highlight w:val="none"/>
                    </w:rPr>
                  </w:pPr>
                  <w:r>
                    <w:rPr>
                      <w:rFonts w:hint="eastAsia" w:ascii="Times New Roman" w:hAnsi="Times New Roman" w:eastAsia="宋体" w:cs="Times New Roman"/>
                      <w:color w:val="000000"/>
                      <w:szCs w:val="21"/>
                      <w:highlight w:val="none"/>
                      <w:lang w:val="en-US" w:eastAsia="zh-CN"/>
                    </w:rPr>
                    <w:t>1</w:t>
                  </w:r>
                  <w:r>
                    <w:rPr>
                      <w:rFonts w:hint="default" w:ascii="Times New Roman" w:hAnsi="Times New Roman" w:cs="Times New Roman"/>
                      <w:color w:val="000000"/>
                      <w:szCs w:val="21"/>
                      <w:highlight w:val="none"/>
                    </w:rPr>
                    <w:t>0000m</w:t>
                  </w:r>
                  <w:r>
                    <w:rPr>
                      <w:rFonts w:hint="default" w:ascii="Times New Roman" w:hAnsi="Times New Roman" w:cs="Times New Roman"/>
                      <w:color w:val="000000"/>
                      <w:szCs w:val="21"/>
                      <w:highlight w:val="none"/>
                      <w:vertAlign w:val="superscript"/>
                    </w:rPr>
                    <w:t>3</w:t>
                  </w:r>
                  <w:r>
                    <w:rPr>
                      <w:rFonts w:hint="default" w:ascii="Times New Roman" w:hAnsi="Times New Roman" w:cs="Times New Roman"/>
                      <w:color w:val="000000"/>
                      <w:szCs w:val="21"/>
                      <w:highlight w:val="none"/>
                    </w:rPr>
                    <w:t>/h</w:t>
                  </w:r>
                </w:p>
              </w:tc>
              <w:tc>
                <w:tcPr>
                  <w:tcW w:w="947" w:type="dxa"/>
                  <w:vAlign w:val="center"/>
                </w:tcPr>
                <w:p w14:paraId="15BF82D5">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80%</w:t>
                  </w:r>
                </w:p>
              </w:tc>
              <w:tc>
                <w:tcPr>
                  <w:tcW w:w="960" w:type="dxa"/>
                  <w:vAlign w:val="center"/>
                </w:tcPr>
                <w:p w14:paraId="4CCC03C2">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吸附</w:t>
                  </w:r>
                </w:p>
              </w:tc>
              <w:tc>
                <w:tcPr>
                  <w:tcW w:w="853" w:type="dxa"/>
                  <w:vAlign w:val="center"/>
                </w:tcPr>
                <w:p w14:paraId="3477263A">
                  <w:pPr>
                    <w:spacing w:line="340" w:lineRule="exact"/>
                    <w:jc w:val="center"/>
                    <w:rPr>
                      <w:rFonts w:hint="default" w:ascii="Times New Roman" w:hAnsi="Times New Roman" w:cs="Times New Roman"/>
                      <w:color w:val="000000"/>
                      <w:szCs w:val="21"/>
                      <w:highlight w:val="none"/>
                    </w:rPr>
                  </w:pPr>
                  <w:r>
                    <w:rPr>
                      <w:rFonts w:hint="eastAsia" w:ascii="Times New Roman" w:hAnsi="Times New Roman" w:eastAsia="宋体" w:cs="Times New Roman"/>
                      <w:color w:val="000000"/>
                      <w:szCs w:val="21"/>
                      <w:highlight w:val="none"/>
                      <w:lang w:val="en-US" w:eastAsia="zh-CN"/>
                    </w:rPr>
                    <w:t>75</w:t>
                  </w:r>
                  <w:r>
                    <w:rPr>
                      <w:rFonts w:hint="default" w:ascii="Times New Roman" w:hAnsi="Times New Roman" w:cs="Times New Roman"/>
                      <w:color w:val="000000"/>
                      <w:szCs w:val="21"/>
                      <w:highlight w:val="none"/>
                    </w:rPr>
                    <w:t>%</w:t>
                  </w:r>
                </w:p>
              </w:tc>
              <w:tc>
                <w:tcPr>
                  <w:tcW w:w="1124" w:type="dxa"/>
                  <w:vAlign w:val="center"/>
                </w:tcPr>
                <w:p w14:paraId="57F7F599">
                  <w:pPr>
                    <w:spacing w:line="340" w:lineRule="exact"/>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是</w:t>
                  </w:r>
                </w:p>
              </w:tc>
            </w:tr>
          </w:tbl>
          <w:p w14:paraId="09597F34">
            <w:pPr>
              <w:spacing w:before="120" w:beforeLines="50" w:line="360" w:lineRule="auto"/>
              <w:ind w:firstLine="480" w:firstLineChars="200"/>
              <w:rPr>
                <w:rFonts w:hint="default" w:ascii="Times New Roman" w:hAnsi="Times New Roman" w:eastAsia="黑体" w:cs="Times New Roman"/>
                <w:color w:val="auto"/>
                <w:sz w:val="24"/>
                <w:highlight w:val="none"/>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参考</w:t>
            </w:r>
            <w:r>
              <w:rPr>
                <w:rFonts w:hint="default" w:ascii="Times New Roman" w:hAnsi="Times New Roman" w:cs="Times New Roman"/>
                <w:color w:val="000000" w:themeColor="text1"/>
                <w:kern w:val="0"/>
                <w:sz w:val="24"/>
                <w:highlight w:val="none"/>
                <w14:textFill>
                  <w14:solidFill>
                    <w14:schemeClr w14:val="tx1"/>
                  </w14:solidFill>
                </w14:textFill>
              </w:rPr>
              <w:t>《环境监测技术规范</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排污单位自行监测技术指南 总则》（</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HJ 819-2017</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eastAsia" w:ascii="Times New Roman" w:hAnsi="Times New Roman" w:eastAsia="宋体" w:cs="Times New Roman"/>
                <w:color w:val="auto"/>
                <w:kern w:val="0"/>
                <w:sz w:val="24"/>
                <w:highlight w:val="none"/>
                <w:lang w:val="en-US" w:eastAsia="zh-CN"/>
              </w:rPr>
              <w:t>以</w:t>
            </w:r>
            <w:r>
              <w:rPr>
                <w:rFonts w:hint="default" w:ascii="Times New Roman" w:hAnsi="Times New Roman" w:cs="Times New Roman"/>
                <w:color w:val="auto"/>
                <w:kern w:val="0"/>
                <w:sz w:val="24"/>
                <w:highlight w:val="none"/>
              </w:rPr>
              <w:t xml:space="preserve">及根据《排污许可申请与核发技术规范 </w:t>
            </w:r>
            <w:r>
              <w:rPr>
                <w:rFonts w:hint="eastAsia" w:ascii="Times New Roman" w:hAnsi="Times New Roman" w:eastAsia="宋体" w:cs="Times New Roman"/>
                <w:color w:val="auto"/>
                <w:kern w:val="0"/>
                <w:sz w:val="24"/>
                <w:highlight w:val="none"/>
                <w:lang w:val="en-US" w:eastAsia="zh-CN"/>
              </w:rPr>
              <w:t>印刷</w:t>
            </w:r>
            <w:r>
              <w:rPr>
                <w:rFonts w:hint="default" w:ascii="Times New Roman" w:hAnsi="Times New Roman" w:cs="Times New Roman"/>
                <w:color w:val="auto"/>
                <w:kern w:val="0"/>
                <w:sz w:val="24"/>
                <w:highlight w:val="none"/>
              </w:rPr>
              <w:t>工业》</w:t>
            </w:r>
            <w:r>
              <w:rPr>
                <w:rFonts w:hint="eastAsia" w:ascii="Times New Roman" w:hAnsi="Times New Roman" w:eastAsia="宋体" w:cs="Times New Roman"/>
                <w:color w:val="auto"/>
                <w:kern w:val="0"/>
                <w:sz w:val="24"/>
                <w:highlight w:val="none"/>
                <w:lang w:eastAsia="zh-CN"/>
              </w:rPr>
              <w:t>（HJ 1066-2019）</w:t>
            </w:r>
            <w:r>
              <w:rPr>
                <w:rFonts w:hint="default" w:ascii="Times New Roman" w:hAnsi="Times New Roman" w:cs="Times New Roman"/>
                <w:color w:val="auto"/>
                <w:kern w:val="0"/>
                <w:sz w:val="24"/>
                <w:highlight w:val="none"/>
              </w:rPr>
              <w:t>，项目为非重点排污单位，大气排放口为一般排放口，废气排放自行监测要求详见表4</w:t>
            </w:r>
            <w:r>
              <w:rPr>
                <w:rFonts w:hint="eastAsia" w:ascii="Times New Roman" w:hAnsi="Times New Roman" w:eastAsia="宋体" w:cs="Times New Roman"/>
                <w:color w:val="auto"/>
                <w:kern w:val="0"/>
                <w:sz w:val="24"/>
                <w:highlight w:val="none"/>
                <w:lang w:val="en-US" w:eastAsia="zh-CN"/>
              </w:rPr>
              <w:t>-17</w:t>
            </w:r>
            <w:r>
              <w:rPr>
                <w:rFonts w:hint="default" w:ascii="Times New Roman" w:hAnsi="Times New Roman" w:cs="Times New Roman"/>
                <w:color w:val="auto"/>
                <w:kern w:val="0"/>
                <w:sz w:val="24"/>
                <w:highlight w:val="none"/>
              </w:rPr>
              <w:t>。</w:t>
            </w:r>
          </w:p>
          <w:p w14:paraId="782AE4F4">
            <w:pPr>
              <w:spacing w:before="120" w:beforeLines="5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-10</w:t>
            </w:r>
            <w:r>
              <w:rPr>
                <w:rFonts w:hint="default" w:ascii="Times New Roman" w:hAnsi="Times New Roman" w:cs="Times New Roman"/>
                <w:b/>
                <w:bCs/>
                <w:color w:val="auto"/>
                <w:sz w:val="24"/>
                <w:highlight w:val="none"/>
              </w:rPr>
              <w:t xml:space="preserve"> 废气排放标准、监测要求一览表</w:t>
            </w:r>
          </w:p>
          <w:tbl>
            <w:tblPr>
              <w:tblStyle w:val="17"/>
              <w:tblW w:w="81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2533"/>
              <w:gridCol w:w="742"/>
              <w:gridCol w:w="3712"/>
            </w:tblGrid>
            <w:tr w14:paraId="75BFF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9" w:type="dxa"/>
                  <w:vAlign w:val="center"/>
                </w:tcPr>
                <w:p w14:paraId="05D7100B">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监测点位</w:t>
                  </w:r>
                </w:p>
              </w:tc>
              <w:tc>
                <w:tcPr>
                  <w:tcW w:w="2533" w:type="dxa"/>
                  <w:vAlign w:val="center"/>
                </w:tcPr>
                <w:p w14:paraId="05F5C754">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监测因子</w:t>
                  </w:r>
                </w:p>
              </w:tc>
              <w:tc>
                <w:tcPr>
                  <w:tcW w:w="742" w:type="dxa"/>
                  <w:vAlign w:val="center"/>
                </w:tcPr>
                <w:p w14:paraId="6D06400B">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w:t>
                  </w:r>
                </w:p>
                <w:p w14:paraId="7B3D2F32">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频次</w:t>
                  </w:r>
                </w:p>
              </w:tc>
              <w:tc>
                <w:tcPr>
                  <w:tcW w:w="3712" w:type="dxa"/>
                  <w:vAlign w:val="center"/>
                </w:tcPr>
                <w:p w14:paraId="2F58D8A6">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排放标准</w:t>
                  </w:r>
                </w:p>
              </w:tc>
            </w:tr>
            <w:tr w14:paraId="51423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9" w:type="dxa"/>
                  <w:noWrap/>
                  <w:vAlign w:val="center"/>
                </w:tcPr>
                <w:p w14:paraId="0B3836E8">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DA001</w:t>
                  </w:r>
                </w:p>
              </w:tc>
              <w:tc>
                <w:tcPr>
                  <w:tcW w:w="2533" w:type="dxa"/>
                  <w:noWrap/>
                  <w:vAlign w:val="center"/>
                </w:tcPr>
                <w:p w14:paraId="412B342E">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非甲烷总烃</w:t>
                  </w:r>
                </w:p>
              </w:tc>
              <w:tc>
                <w:tcPr>
                  <w:tcW w:w="742" w:type="dxa"/>
                  <w:vAlign w:val="center"/>
                </w:tcPr>
                <w:p w14:paraId="299AA49E">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1次/a</w:t>
                  </w:r>
                </w:p>
              </w:tc>
              <w:tc>
                <w:tcPr>
                  <w:tcW w:w="3712" w:type="dxa"/>
                  <w:noWrap/>
                  <w:vAlign w:val="center"/>
                </w:tcPr>
                <w:p w14:paraId="6372762B">
                  <w:pPr>
                    <w:widowControl/>
                    <w:spacing w:line="3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Cs w:val="22"/>
                      <w:highlight w:val="none"/>
                    </w:rPr>
                    <w:t>《印刷行业挥发性有机物排放标准》</w:t>
                  </w:r>
                  <w:r>
                    <w:rPr>
                      <w:rFonts w:hint="eastAsia" w:ascii="Times New Roman" w:hAnsi="Times New Roman" w:eastAsia="宋体" w:cs="Times New Roman"/>
                      <w:color w:val="auto"/>
                      <w:szCs w:val="22"/>
                      <w:highlight w:val="none"/>
                      <w:lang w:eastAsia="zh-CN"/>
                    </w:rPr>
                    <w:t>（</w:t>
                  </w:r>
                  <w:r>
                    <w:rPr>
                      <w:rFonts w:hint="default" w:ascii="Times New Roman" w:hAnsi="Times New Roman" w:cs="Times New Roman"/>
                      <w:color w:val="auto"/>
                      <w:szCs w:val="22"/>
                      <w:highlight w:val="none"/>
                    </w:rPr>
                    <w:t>DB 35/1784-2018</w:t>
                  </w:r>
                  <w:r>
                    <w:rPr>
                      <w:rFonts w:hint="eastAsia" w:ascii="Times New Roman" w:hAnsi="Times New Roman" w:eastAsia="宋体" w:cs="Times New Roman"/>
                      <w:color w:val="auto"/>
                      <w:szCs w:val="22"/>
                      <w:highlight w:val="none"/>
                      <w:lang w:eastAsia="zh-CN"/>
                    </w:rPr>
                    <w:t>）</w:t>
                  </w:r>
                  <w:r>
                    <w:rPr>
                      <w:rFonts w:hint="eastAsia" w:ascii="Times New Roman" w:hAnsi="Times New Roman" w:eastAsia="宋体" w:cs="Times New Roman"/>
                      <w:color w:val="auto"/>
                      <w:szCs w:val="22"/>
                      <w:highlight w:val="none"/>
                      <w:lang w:val="en-US" w:eastAsia="zh-CN"/>
                    </w:rPr>
                    <w:t>表1</w:t>
                  </w:r>
                </w:p>
              </w:tc>
            </w:tr>
            <w:tr w14:paraId="5D8A9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9" w:type="dxa"/>
                  <w:noWrap/>
                  <w:vAlign w:val="center"/>
                </w:tcPr>
                <w:p w14:paraId="65D34249">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厂界</w:t>
                  </w:r>
                </w:p>
              </w:tc>
              <w:tc>
                <w:tcPr>
                  <w:tcW w:w="2533" w:type="dxa"/>
                  <w:noWrap/>
                  <w:vAlign w:val="center"/>
                </w:tcPr>
                <w:p w14:paraId="288B0486">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非甲烷总烃</w:t>
                  </w:r>
                </w:p>
              </w:tc>
              <w:tc>
                <w:tcPr>
                  <w:tcW w:w="742" w:type="dxa"/>
                  <w:vAlign w:val="center"/>
                </w:tcPr>
                <w:p w14:paraId="3246E9AB">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1次/a</w:t>
                  </w:r>
                </w:p>
              </w:tc>
              <w:tc>
                <w:tcPr>
                  <w:tcW w:w="3712" w:type="dxa"/>
                  <w:noWrap/>
                  <w:vAlign w:val="center"/>
                </w:tcPr>
                <w:p w14:paraId="72456F74">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2"/>
                      <w:highlight w:val="none"/>
                    </w:rPr>
                    <w:t>《印刷行业挥发性有机物排放标准》</w:t>
                  </w:r>
                  <w:r>
                    <w:rPr>
                      <w:rFonts w:hint="eastAsia" w:ascii="Times New Roman" w:hAnsi="Times New Roman" w:eastAsia="宋体" w:cs="Times New Roman"/>
                      <w:color w:val="auto"/>
                      <w:szCs w:val="22"/>
                      <w:highlight w:val="none"/>
                      <w:lang w:eastAsia="zh-CN"/>
                    </w:rPr>
                    <w:t>（</w:t>
                  </w:r>
                  <w:r>
                    <w:rPr>
                      <w:rFonts w:hint="default" w:ascii="Times New Roman" w:hAnsi="Times New Roman" w:cs="Times New Roman"/>
                      <w:color w:val="auto"/>
                      <w:szCs w:val="22"/>
                      <w:highlight w:val="none"/>
                    </w:rPr>
                    <w:t>DB 35/1784-2018</w:t>
                  </w:r>
                  <w:r>
                    <w:rPr>
                      <w:rFonts w:hint="eastAsia" w:ascii="Times New Roman" w:hAnsi="Times New Roman" w:eastAsia="宋体" w:cs="Times New Roman"/>
                      <w:color w:val="auto"/>
                      <w:szCs w:val="22"/>
                      <w:highlight w:val="none"/>
                      <w:lang w:eastAsia="zh-CN"/>
                    </w:rPr>
                    <w:t>）</w:t>
                  </w:r>
                  <w:r>
                    <w:rPr>
                      <w:rFonts w:hint="eastAsia" w:ascii="Times New Roman" w:hAnsi="Times New Roman" w:eastAsia="宋体" w:cs="Times New Roman"/>
                      <w:color w:val="auto"/>
                      <w:szCs w:val="22"/>
                      <w:highlight w:val="none"/>
                      <w:lang w:val="en-US" w:eastAsia="zh-CN"/>
                    </w:rPr>
                    <w:t>表3</w:t>
                  </w:r>
                </w:p>
              </w:tc>
            </w:tr>
            <w:tr w14:paraId="44947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169" w:type="dxa"/>
                  <w:vMerge w:val="restart"/>
                  <w:noWrap/>
                  <w:vAlign w:val="center"/>
                </w:tcPr>
                <w:p w14:paraId="4B39E421">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厂区内</w:t>
                  </w:r>
                </w:p>
              </w:tc>
              <w:tc>
                <w:tcPr>
                  <w:tcW w:w="2533" w:type="dxa"/>
                  <w:noWrap/>
                  <w:vAlign w:val="center"/>
                </w:tcPr>
                <w:p w14:paraId="5A74E86B">
                  <w:pPr>
                    <w:widowControl/>
                    <w:spacing w:line="340" w:lineRule="exact"/>
                    <w:jc w:val="center"/>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非甲烷总烃</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cs="Times New Roman"/>
                      <w:color w:val="auto"/>
                      <w:kern w:val="0"/>
                      <w:szCs w:val="21"/>
                      <w:highlight w:val="none"/>
                    </w:rPr>
                    <w:t>1h平均值</w:t>
                  </w:r>
                  <w:r>
                    <w:rPr>
                      <w:rFonts w:hint="eastAsia" w:ascii="Times New Roman" w:hAnsi="Times New Roman" w:eastAsia="宋体" w:cs="Times New Roman"/>
                      <w:color w:val="auto"/>
                      <w:kern w:val="0"/>
                      <w:szCs w:val="21"/>
                      <w:highlight w:val="none"/>
                      <w:lang w:eastAsia="zh-CN"/>
                    </w:rPr>
                    <w:t>）</w:t>
                  </w:r>
                </w:p>
              </w:tc>
              <w:tc>
                <w:tcPr>
                  <w:tcW w:w="742" w:type="dxa"/>
                  <w:vMerge w:val="restart"/>
                  <w:vAlign w:val="center"/>
                </w:tcPr>
                <w:p w14:paraId="73962450">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1次/a</w:t>
                  </w:r>
                </w:p>
              </w:tc>
              <w:tc>
                <w:tcPr>
                  <w:tcW w:w="3712" w:type="dxa"/>
                  <w:noWrap/>
                  <w:vAlign w:val="center"/>
                </w:tcPr>
                <w:p w14:paraId="49CBC9C8">
                  <w:pPr>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《印刷行业挥发性有机物排放标准》</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DB 35/1784-2018</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表2</w:t>
                  </w:r>
                </w:p>
              </w:tc>
            </w:tr>
            <w:tr w14:paraId="53115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9" w:type="dxa"/>
                  <w:vMerge w:val="continue"/>
                  <w:noWrap/>
                  <w:vAlign w:val="center"/>
                </w:tcPr>
                <w:p w14:paraId="325011FF">
                  <w:pPr>
                    <w:widowControl/>
                    <w:spacing w:line="340" w:lineRule="exact"/>
                    <w:jc w:val="center"/>
                    <w:rPr>
                      <w:rFonts w:hint="default" w:ascii="Times New Roman" w:hAnsi="Times New Roman" w:cs="Times New Roman"/>
                      <w:color w:val="auto"/>
                      <w:kern w:val="0"/>
                      <w:szCs w:val="21"/>
                      <w:highlight w:val="none"/>
                    </w:rPr>
                  </w:pPr>
                </w:p>
              </w:tc>
              <w:tc>
                <w:tcPr>
                  <w:tcW w:w="2533" w:type="dxa"/>
                  <w:noWrap/>
                  <w:vAlign w:val="center"/>
                </w:tcPr>
                <w:p w14:paraId="6DC7EC92">
                  <w:pPr>
                    <w:widowControl/>
                    <w:spacing w:line="340" w:lineRule="exact"/>
                    <w:jc w:val="center"/>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非甲烷总烃</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cs="Times New Roman"/>
                      <w:color w:val="auto"/>
                      <w:kern w:val="0"/>
                      <w:szCs w:val="21"/>
                      <w:highlight w:val="none"/>
                    </w:rPr>
                    <w:t>任意一次值</w:t>
                  </w:r>
                  <w:r>
                    <w:rPr>
                      <w:rFonts w:hint="eastAsia" w:ascii="Times New Roman" w:hAnsi="Times New Roman" w:eastAsia="宋体" w:cs="Times New Roman"/>
                      <w:color w:val="auto"/>
                      <w:kern w:val="0"/>
                      <w:szCs w:val="21"/>
                      <w:highlight w:val="none"/>
                      <w:lang w:eastAsia="zh-CN"/>
                    </w:rPr>
                    <w:t>）</w:t>
                  </w:r>
                </w:p>
              </w:tc>
              <w:tc>
                <w:tcPr>
                  <w:tcW w:w="742" w:type="dxa"/>
                  <w:vMerge w:val="continue"/>
                  <w:vAlign w:val="center"/>
                </w:tcPr>
                <w:p w14:paraId="3894CF28">
                  <w:pPr>
                    <w:widowControl/>
                    <w:spacing w:line="340" w:lineRule="exact"/>
                    <w:jc w:val="center"/>
                    <w:rPr>
                      <w:rFonts w:hint="default" w:ascii="Times New Roman" w:hAnsi="Times New Roman" w:cs="Times New Roman"/>
                      <w:color w:val="auto"/>
                      <w:kern w:val="0"/>
                      <w:szCs w:val="21"/>
                      <w:highlight w:val="none"/>
                    </w:rPr>
                  </w:pPr>
                </w:p>
              </w:tc>
              <w:tc>
                <w:tcPr>
                  <w:tcW w:w="3712" w:type="dxa"/>
                  <w:noWrap/>
                  <w:vAlign w:val="center"/>
                </w:tcPr>
                <w:p w14:paraId="2B874EC4">
                  <w:pPr>
                    <w:widowControl/>
                    <w:spacing w:line="34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《挥发性有机物无组织排放控制标准》</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GB 37822-2019</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附录A表A.1</w:t>
                  </w:r>
                </w:p>
              </w:tc>
            </w:tr>
          </w:tbl>
          <w:p w14:paraId="5CFF4911">
            <w:pPr>
              <w:keepNext w:val="0"/>
              <w:keepLines w:val="0"/>
              <w:widowControl/>
              <w:suppressLineNumbers w:val="0"/>
              <w:jc w:val="left"/>
              <w:rPr>
                <w:rFonts w:hint="eastAsia" w:ascii="宋体" w:hAnsi="宋体" w:eastAsia="宋体" w:cs="宋体"/>
                <w:sz w:val="24"/>
                <w:szCs w:val="24"/>
                <w:highlight w:val="none"/>
              </w:rPr>
            </w:pPr>
          </w:p>
        </w:tc>
      </w:tr>
    </w:tbl>
    <w:p w14:paraId="6CFDE4A8">
      <w:pPr>
        <w:rPr>
          <w:highlight w:val="none"/>
        </w:rPr>
      </w:pPr>
      <w:r>
        <w:rPr>
          <w:highlight w:val="none"/>
        </w:rPr>
        <w:br w:type="page"/>
      </w:r>
    </w:p>
    <w:p w14:paraId="6F4F0869">
      <w:pPr>
        <w:rPr>
          <w:highlight w:val="none"/>
        </w:rPr>
        <w:sectPr>
          <w:pgSz w:w="11907" w:h="16840"/>
          <w:pgMar w:top="1431" w:right="1449" w:bottom="959" w:left="1448" w:header="0" w:footer="692" w:gutter="0"/>
          <w:pgBorders>
            <w:top w:val="none" w:sz="0" w:space="0"/>
            <w:left w:val="none" w:sz="0" w:space="0"/>
            <w:bottom w:val="none" w:sz="0" w:space="0"/>
            <w:right w:val="none" w:sz="0" w:space="0"/>
          </w:pgBorders>
          <w:pgNumType w:fmt="decimal"/>
          <w:cols w:space="720" w:num="1"/>
        </w:sectPr>
      </w:pPr>
    </w:p>
    <w:tbl>
      <w:tblPr>
        <w:tblStyle w:val="17"/>
        <w:tblW w:w="498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4154"/>
      </w:tblGrid>
      <w:tr w14:paraId="54431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 w:type="pct"/>
            <w:noWrap w:val="0"/>
            <w:tcMar>
              <w:left w:w="28" w:type="dxa"/>
              <w:right w:w="28" w:type="dxa"/>
            </w:tcMar>
            <w:vAlign w:val="center"/>
          </w:tcPr>
          <w:p w14:paraId="61E60CAF">
            <w:pPr>
              <w:adjustRightInd w:val="0"/>
              <w:snapToGrid w:val="0"/>
              <w:jc w:val="center"/>
              <w:rPr>
                <w:rFonts w:ascii="宋体" w:hAnsi="宋体" w:cs="宋体"/>
                <w:bCs/>
                <w:sz w:val="24"/>
                <w:highlight w:val="none"/>
              </w:rPr>
            </w:pPr>
            <w:r>
              <w:rPr>
                <w:rFonts w:hint="eastAsia" w:ascii="宋体" w:hAnsi="宋体" w:cs="宋体"/>
                <w:bCs/>
                <w:sz w:val="24"/>
                <w:highlight w:val="none"/>
              </w:rPr>
              <w:t>运营</w:t>
            </w:r>
          </w:p>
          <w:p w14:paraId="5F1DC48F">
            <w:pPr>
              <w:adjustRightInd w:val="0"/>
              <w:snapToGrid w:val="0"/>
              <w:jc w:val="center"/>
              <w:rPr>
                <w:rFonts w:ascii="宋体" w:hAnsi="宋体" w:cs="宋体"/>
                <w:bCs/>
                <w:sz w:val="24"/>
                <w:highlight w:val="none"/>
              </w:rPr>
            </w:pPr>
            <w:r>
              <w:rPr>
                <w:rFonts w:hint="eastAsia" w:ascii="宋体" w:hAnsi="宋体" w:cs="宋体"/>
                <w:bCs/>
                <w:sz w:val="24"/>
                <w:highlight w:val="none"/>
              </w:rPr>
              <w:t>期环</w:t>
            </w:r>
          </w:p>
          <w:p w14:paraId="42F744C6">
            <w:pPr>
              <w:adjustRightInd w:val="0"/>
              <w:snapToGrid w:val="0"/>
              <w:jc w:val="center"/>
              <w:rPr>
                <w:rFonts w:ascii="宋体" w:hAnsi="宋体" w:cs="宋体"/>
                <w:bCs/>
                <w:sz w:val="24"/>
                <w:highlight w:val="none"/>
              </w:rPr>
            </w:pPr>
            <w:r>
              <w:rPr>
                <w:rFonts w:hint="eastAsia" w:ascii="宋体" w:hAnsi="宋体" w:cs="宋体"/>
                <w:bCs/>
                <w:sz w:val="24"/>
                <w:highlight w:val="none"/>
              </w:rPr>
              <w:t>境影</w:t>
            </w:r>
          </w:p>
          <w:p w14:paraId="3491B065">
            <w:pPr>
              <w:adjustRightInd w:val="0"/>
              <w:snapToGrid w:val="0"/>
              <w:jc w:val="center"/>
              <w:rPr>
                <w:rFonts w:ascii="宋体" w:hAnsi="宋体" w:cs="宋体"/>
                <w:bCs/>
                <w:sz w:val="24"/>
                <w:highlight w:val="none"/>
              </w:rPr>
            </w:pPr>
            <w:r>
              <w:rPr>
                <w:rFonts w:hint="eastAsia" w:ascii="宋体" w:hAnsi="宋体" w:cs="宋体"/>
                <w:bCs/>
                <w:sz w:val="24"/>
                <w:highlight w:val="none"/>
              </w:rPr>
              <w:t>响和</w:t>
            </w:r>
          </w:p>
          <w:p w14:paraId="3A064908">
            <w:pPr>
              <w:adjustRightInd w:val="0"/>
              <w:snapToGrid w:val="0"/>
              <w:jc w:val="center"/>
              <w:rPr>
                <w:rFonts w:ascii="宋体" w:hAnsi="宋体" w:cs="宋体"/>
                <w:bCs/>
                <w:sz w:val="24"/>
                <w:highlight w:val="none"/>
              </w:rPr>
            </w:pPr>
            <w:r>
              <w:rPr>
                <w:rFonts w:hint="eastAsia" w:ascii="宋体" w:hAnsi="宋体" w:cs="宋体"/>
                <w:bCs/>
                <w:sz w:val="24"/>
                <w:highlight w:val="none"/>
              </w:rPr>
              <w:t>保护</w:t>
            </w:r>
          </w:p>
          <w:p w14:paraId="76E97077">
            <w:pPr>
              <w:adjustRightInd w:val="0"/>
              <w:snapToGrid w:val="0"/>
              <w:jc w:val="center"/>
              <w:rPr>
                <w:rFonts w:ascii="宋体" w:hAnsi="宋体" w:cs="宋体"/>
                <w:bCs/>
                <w:szCs w:val="21"/>
                <w:highlight w:val="none"/>
              </w:rPr>
            </w:pPr>
            <w:r>
              <w:rPr>
                <w:rFonts w:hint="eastAsia" w:ascii="宋体" w:hAnsi="宋体" w:cs="宋体"/>
                <w:bCs/>
                <w:sz w:val="24"/>
                <w:highlight w:val="none"/>
              </w:rPr>
              <w:t>措施</w:t>
            </w:r>
          </w:p>
        </w:tc>
        <w:tc>
          <w:tcPr>
            <w:tcW w:w="4865" w:type="pct"/>
            <w:noWrap w:val="0"/>
            <w:vAlign w:val="center"/>
          </w:tcPr>
          <w:p w14:paraId="3D05881D">
            <w:pPr>
              <w:keepNext w:val="0"/>
              <w:keepLines w:val="0"/>
              <w:widowControl/>
              <w:suppressLineNumbers w:val="0"/>
              <w:jc w:val="left"/>
              <w:rPr>
                <w:rFonts w:hint="default" w:ascii="Times New Roman" w:hAnsi="Times New Roman" w:cs="Times New Roman"/>
                <w:highlight w:val="none"/>
              </w:rPr>
            </w:pPr>
            <w:r>
              <w:rPr>
                <w:rFonts w:hint="default" w:ascii="Times New Roman" w:hAnsi="Times New Roman" w:eastAsia="宋体" w:cs="Times New Roman"/>
                <w:b/>
                <w:bCs/>
                <w:snapToGrid w:val="0"/>
                <w:color w:val="000000"/>
                <w:kern w:val="0"/>
                <w:sz w:val="28"/>
                <w:szCs w:val="28"/>
                <w:highlight w:val="none"/>
                <w:lang w:val="en-US" w:eastAsia="zh-CN" w:bidi="ar"/>
              </w:rPr>
              <w:t>4.</w:t>
            </w:r>
            <w:r>
              <w:rPr>
                <w:rFonts w:hint="eastAsia" w:ascii="Times New Roman" w:hAnsi="Times New Roman" w:eastAsia="宋体" w:cs="Times New Roman"/>
                <w:b/>
                <w:bCs/>
                <w:snapToGrid w:val="0"/>
                <w:color w:val="000000"/>
                <w:kern w:val="0"/>
                <w:sz w:val="28"/>
                <w:szCs w:val="28"/>
                <w:highlight w:val="none"/>
                <w:lang w:val="en-US" w:eastAsia="zh-CN" w:bidi="ar"/>
              </w:rPr>
              <w:t>3</w:t>
            </w:r>
            <w:r>
              <w:rPr>
                <w:rFonts w:hint="default" w:ascii="Times New Roman" w:hAnsi="Times New Roman" w:eastAsia="宋体" w:cs="Times New Roman"/>
                <w:b/>
                <w:bCs/>
                <w:snapToGrid w:val="0"/>
                <w:color w:val="000000"/>
                <w:kern w:val="0"/>
                <w:sz w:val="28"/>
                <w:szCs w:val="28"/>
                <w:highlight w:val="none"/>
                <w:lang w:val="en-US" w:eastAsia="zh-CN" w:bidi="ar"/>
              </w:rPr>
              <w:t>噪声影响分析和保护措施</w:t>
            </w:r>
          </w:p>
          <w:p w14:paraId="7A132EAC">
            <w:pPr>
              <w:spacing w:line="360" w:lineRule="auto"/>
              <w:rPr>
                <w:rFonts w:hint="default" w:ascii="Times New Roman" w:hAnsi="Times New Roman" w:eastAsia="宋体" w:cs="Times New Roman"/>
                <w:b/>
                <w:bCs/>
                <w:snapToGrid w:val="0"/>
                <w:color w:val="000000"/>
                <w:kern w:val="0"/>
                <w:sz w:val="24"/>
                <w:szCs w:val="24"/>
                <w:highlight w:val="none"/>
                <w:lang w:val="en-US" w:eastAsia="zh-CN" w:bidi="ar"/>
              </w:rPr>
            </w:pPr>
            <w:r>
              <w:rPr>
                <w:rFonts w:hint="default" w:ascii="Times New Roman" w:hAnsi="Times New Roman" w:eastAsia="宋体" w:cs="Times New Roman"/>
                <w:b/>
                <w:bCs/>
                <w:snapToGrid w:val="0"/>
                <w:color w:val="000000"/>
                <w:kern w:val="0"/>
                <w:sz w:val="24"/>
                <w:szCs w:val="24"/>
                <w:highlight w:val="none"/>
                <w:lang w:val="en-US" w:eastAsia="zh-CN" w:bidi="ar"/>
              </w:rPr>
              <w:t>4.</w:t>
            </w:r>
            <w:r>
              <w:rPr>
                <w:rFonts w:hint="eastAsia" w:ascii="Times New Roman" w:hAnsi="Times New Roman" w:eastAsia="宋体" w:cs="Times New Roman"/>
                <w:b/>
                <w:bCs/>
                <w:snapToGrid w:val="0"/>
                <w:color w:val="000000"/>
                <w:kern w:val="0"/>
                <w:sz w:val="24"/>
                <w:szCs w:val="24"/>
                <w:highlight w:val="none"/>
                <w:lang w:val="en-US" w:eastAsia="zh-CN" w:bidi="ar"/>
              </w:rPr>
              <w:t>3</w:t>
            </w:r>
            <w:r>
              <w:rPr>
                <w:rFonts w:hint="default" w:ascii="Times New Roman" w:hAnsi="Times New Roman" w:eastAsia="宋体" w:cs="Times New Roman"/>
                <w:b/>
                <w:bCs/>
                <w:snapToGrid w:val="0"/>
                <w:color w:val="000000"/>
                <w:kern w:val="0"/>
                <w:sz w:val="24"/>
                <w:szCs w:val="24"/>
                <w:highlight w:val="none"/>
                <w:lang w:val="en-US" w:eastAsia="zh-CN" w:bidi="ar"/>
              </w:rPr>
              <w:t>.1噪声污染源强</w:t>
            </w:r>
          </w:p>
          <w:p w14:paraId="4387348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000000"/>
                <w:sz w:val="24"/>
                <w:highlight w:val="none"/>
              </w:rPr>
            </w:pPr>
            <w:r>
              <w:rPr>
                <w:rFonts w:hint="default" w:ascii="Times New Roman" w:hAnsi="Times New Roman" w:cs="Times New Roman"/>
                <w:bCs/>
                <w:sz w:val="24"/>
                <w:highlight w:val="none"/>
              </w:rPr>
              <w:t>项目噪声主要来自生产设备运行的机械噪声，坐标原点以厂房</w:t>
            </w:r>
            <w:r>
              <w:rPr>
                <w:rFonts w:hint="eastAsia" w:ascii="Times New Roman" w:hAnsi="Times New Roman" w:eastAsia="宋体" w:cs="Times New Roman"/>
                <w:bCs/>
                <w:sz w:val="24"/>
                <w:highlight w:val="none"/>
                <w:lang w:val="en-US" w:eastAsia="zh-CN"/>
              </w:rPr>
              <w:t>平面图左下角</w:t>
            </w:r>
            <w:r>
              <w:rPr>
                <w:rFonts w:hint="default" w:ascii="Times New Roman" w:hAnsi="Times New Roman" w:cs="Times New Roman"/>
                <w:bCs/>
                <w:sz w:val="24"/>
                <w:highlight w:val="none"/>
              </w:rPr>
              <w:t>为原点。项目生产设备均放置于室内，且同一种生产设备均集中放置同一区域，其主要室内声源组团</w:t>
            </w:r>
            <w:r>
              <w:rPr>
                <w:rFonts w:hint="default" w:ascii="Times New Roman" w:hAnsi="Times New Roman" w:cs="Times New Roman"/>
                <w:color w:val="000000"/>
                <w:sz w:val="24"/>
                <w:highlight w:val="none"/>
              </w:rPr>
              <w:t>各设备噪声源强详见表4</w:t>
            </w:r>
            <w:r>
              <w:rPr>
                <w:rFonts w:hint="eastAsia" w:ascii="Times New Roman" w:hAnsi="Times New Roman" w:eastAsia="宋体" w:cs="Times New Roman"/>
                <w:color w:val="000000"/>
                <w:sz w:val="24"/>
                <w:highlight w:val="none"/>
                <w:lang w:val="en-US" w:eastAsia="zh-CN"/>
              </w:rPr>
              <w:t>.3-1</w:t>
            </w:r>
            <w:r>
              <w:rPr>
                <w:rFonts w:hint="default" w:ascii="Times New Roman" w:hAnsi="Times New Roman" w:cs="Times New Roman"/>
                <w:color w:val="000000"/>
                <w:sz w:val="24"/>
                <w:highlight w:val="none"/>
              </w:rPr>
              <w:t>。</w:t>
            </w:r>
          </w:p>
          <w:p w14:paraId="29FE4A55">
            <w:pPr>
              <w:spacing w:line="360" w:lineRule="auto"/>
              <w:ind w:firstLine="480" w:firstLineChars="200"/>
              <w:jc w:val="center"/>
              <w:rPr>
                <w:rFonts w:hint="default" w:ascii="Times New Roman" w:hAnsi="Times New Roman" w:cs="Times New Roman"/>
                <w:b/>
                <w:color w:val="000000"/>
                <w:sz w:val="24"/>
                <w:highlight w:val="none"/>
              </w:rPr>
            </w:pPr>
            <w:r>
              <w:rPr>
                <w:rFonts w:hint="default" w:ascii="Times New Roman" w:hAnsi="Times New Roman" w:cs="Times New Roman"/>
                <w:b/>
                <w:color w:val="000000"/>
                <w:sz w:val="24"/>
                <w:highlight w:val="none"/>
              </w:rPr>
              <w:t>表4</w:t>
            </w:r>
            <w:r>
              <w:rPr>
                <w:rFonts w:hint="eastAsia" w:ascii="Times New Roman" w:hAnsi="Times New Roman" w:eastAsia="宋体" w:cs="Times New Roman"/>
                <w:b/>
                <w:color w:val="000000"/>
                <w:sz w:val="24"/>
                <w:highlight w:val="none"/>
                <w:lang w:val="en-US" w:eastAsia="zh-CN"/>
              </w:rPr>
              <w:t>.3</w:t>
            </w:r>
            <w:r>
              <w:rPr>
                <w:rFonts w:hint="eastAsia" w:ascii="Times New Roman" w:hAnsi="Times New Roman" w:cs="Times New Roman"/>
                <w:b/>
                <w:color w:val="000000"/>
                <w:sz w:val="24"/>
                <w:highlight w:val="none"/>
                <w:lang w:val="en-US" w:eastAsia="zh-CN"/>
              </w:rPr>
              <w:t>-1</w:t>
            </w:r>
            <w:r>
              <w:rPr>
                <w:rFonts w:hint="default" w:ascii="Times New Roman" w:hAnsi="Times New Roman" w:cs="Times New Roman"/>
                <w:b/>
                <w:color w:val="000000"/>
                <w:sz w:val="24"/>
                <w:highlight w:val="none"/>
              </w:rPr>
              <w:t xml:space="preserve"> 工业企业噪声源强调查清单</w:t>
            </w:r>
          </w:p>
          <w:tbl>
            <w:tblPr>
              <w:tblStyle w:val="17"/>
              <w:tblW w:w="14138" w:type="dxa"/>
              <w:tblInd w:w="-1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8"/>
              <w:gridCol w:w="453"/>
              <w:gridCol w:w="507"/>
              <w:gridCol w:w="1280"/>
              <w:gridCol w:w="773"/>
              <w:gridCol w:w="616"/>
              <w:gridCol w:w="562"/>
              <w:gridCol w:w="453"/>
              <w:gridCol w:w="461"/>
              <w:gridCol w:w="562"/>
              <w:gridCol w:w="453"/>
              <w:gridCol w:w="562"/>
              <w:gridCol w:w="491"/>
              <w:gridCol w:w="590"/>
              <w:gridCol w:w="617"/>
              <w:gridCol w:w="617"/>
              <w:gridCol w:w="639"/>
              <w:gridCol w:w="453"/>
              <w:gridCol w:w="796"/>
              <w:gridCol w:w="728"/>
              <w:gridCol w:w="728"/>
              <w:gridCol w:w="728"/>
              <w:gridCol w:w="731"/>
            </w:tblGrid>
            <w:tr w14:paraId="614B1A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9" w:type="pct"/>
                  <w:vMerge w:val="restart"/>
                  <w:tcBorders>
                    <w:tl2br w:val="nil"/>
                    <w:tr2bl w:val="nil"/>
                  </w:tcBorders>
                  <w:noWrap w:val="0"/>
                  <w:vAlign w:val="center"/>
                </w:tcPr>
                <w:p w14:paraId="63D33C39">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序号</w:t>
                  </w:r>
                </w:p>
              </w:tc>
              <w:tc>
                <w:tcPr>
                  <w:tcW w:w="339" w:type="pct"/>
                  <w:gridSpan w:val="2"/>
                  <w:vMerge w:val="restart"/>
                  <w:tcBorders>
                    <w:tl2br w:val="nil"/>
                    <w:tr2bl w:val="nil"/>
                  </w:tcBorders>
                  <w:noWrap w:val="0"/>
                  <w:vAlign w:val="center"/>
                </w:tcPr>
                <w:p w14:paraId="6539B49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建筑物名称</w:t>
                  </w:r>
                </w:p>
              </w:tc>
              <w:tc>
                <w:tcPr>
                  <w:tcW w:w="452" w:type="pct"/>
                  <w:vMerge w:val="restart"/>
                  <w:tcBorders>
                    <w:tl2br w:val="nil"/>
                    <w:tr2bl w:val="nil"/>
                  </w:tcBorders>
                  <w:noWrap w:val="0"/>
                  <w:vAlign w:val="center"/>
                </w:tcPr>
                <w:p w14:paraId="5C035727">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声源名称</w:t>
                  </w:r>
                </w:p>
              </w:tc>
              <w:tc>
                <w:tcPr>
                  <w:tcW w:w="273" w:type="pct"/>
                  <w:vMerge w:val="restart"/>
                  <w:tcBorders>
                    <w:tl2br w:val="nil"/>
                    <w:tr2bl w:val="nil"/>
                  </w:tcBorders>
                  <w:noWrap w:val="0"/>
                  <w:vAlign w:val="center"/>
                </w:tcPr>
                <w:p w14:paraId="13BB1D7F">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声源源强dB</w:t>
                  </w:r>
                  <w:r>
                    <w:rPr>
                      <w:rFonts w:hint="eastAsia" w:ascii="Times New Roman" w:hAnsi="Times New Roman" w:eastAsia="宋体" w:cs="Times New Roman"/>
                      <w:color w:val="000000"/>
                      <w:kern w:val="0"/>
                      <w:sz w:val="20"/>
                      <w:szCs w:val="20"/>
                      <w:highlight w:val="none"/>
                      <w:lang w:val="en-US" w:eastAsia="zh-CN" w:bidi="ar"/>
                    </w:rPr>
                    <w:t>（</w:t>
                  </w:r>
                  <w:r>
                    <w:rPr>
                      <w:rFonts w:hint="default" w:ascii="Times New Roman" w:hAnsi="Times New Roman" w:eastAsia="宋体" w:cs="Times New Roman"/>
                      <w:color w:val="000000"/>
                      <w:kern w:val="0"/>
                      <w:sz w:val="20"/>
                      <w:szCs w:val="20"/>
                      <w:highlight w:val="none"/>
                      <w:lang w:val="en-US" w:eastAsia="zh-CN" w:bidi="ar"/>
                    </w:rPr>
                    <w:t>A</w:t>
                  </w:r>
                  <w:r>
                    <w:rPr>
                      <w:rFonts w:hint="eastAsia" w:ascii="Times New Roman" w:hAnsi="Times New Roman" w:eastAsia="宋体" w:cs="Times New Roman"/>
                      <w:color w:val="000000"/>
                      <w:kern w:val="0"/>
                      <w:sz w:val="20"/>
                      <w:szCs w:val="20"/>
                      <w:highlight w:val="none"/>
                      <w:lang w:val="en-US" w:eastAsia="zh-CN" w:bidi="ar"/>
                    </w:rPr>
                    <w:t>）</w:t>
                  </w:r>
                </w:p>
              </w:tc>
              <w:tc>
                <w:tcPr>
                  <w:tcW w:w="217" w:type="pct"/>
                  <w:vMerge w:val="restart"/>
                  <w:tcBorders>
                    <w:tl2br w:val="nil"/>
                    <w:tr2bl w:val="nil"/>
                  </w:tcBorders>
                  <w:noWrap w:val="0"/>
                  <w:vAlign w:val="center"/>
                </w:tcPr>
                <w:p w14:paraId="6F2BC3A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声源控制措施</w:t>
                  </w:r>
                </w:p>
              </w:tc>
              <w:tc>
                <w:tcPr>
                  <w:tcW w:w="521" w:type="pct"/>
                  <w:gridSpan w:val="3"/>
                  <w:tcBorders>
                    <w:tl2br w:val="nil"/>
                    <w:tr2bl w:val="nil"/>
                  </w:tcBorders>
                  <w:noWrap w:val="0"/>
                  <w:vAlign w:val="center"/>
                </w:tcPr>
                <w:p w14:paraId="1A7155C7">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空间相对位置m</w:t>
                  </w:r>
                </w:p>
              </w:tc>
              <w:tc>
                <w:tcPr>
                  <w:tcW w:w="731" w:type="pct"/>
                  <w:gridSpan w:val="4"/>
                  <w:tcBorders>
                    <w:tl2br w:val="nil"/>
                    <w:tr2bl w:val="nil"/>
                  </w:tcBorders>
                  <w:noWrap w:val="0"/>
                  <w:vAlign w:val="center"/>
                </w:tcPr>
                <w:p w14:paraId="05677901">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距室内边界距离m</w:t>
                  </w:r>
                </w:p>
              </w:tc>
              <w:tc>
                <w:tcPr>
                  <w:tcW w:w="871" w:type="pct"/>
                  <w:gridSpan w:val="4"/>
                  <w:tcBorders>
                    <w:tl2br w:val="nil"/>
                    <w:tr2bl w:val="nil"/>
                  </w:tcBorders>
                  <w:noWrap w:val="0"/>
                  <w:vAlign w:val="center"/>
                </w:tcPr>
                <w:p w14:paraId="15DC0CE8">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室内边界声级dB</w:t>
                  </w:r>
                  <w:r>
                    <w:rPr>
                      <w:rFonts w:hint="eastAsia" w:ascii="Times New Roman" w:hAnsi="Times New Roman" w:eastAsia="宋体" w:cs="Times New Roman"/>
                      <w:color w:val="000000"/>
                      <w:kern w:val="0"/>
                      <w:sz w:val="20"/>
                      <w:szCs w:val="20"/>
                      <w:highlight w:val="none"/>
                      <w:lang w:val="en-US" w:eastAsia="zh-CN" w:bidi="ar"/>
                    </w:rPr>
                    <w:t>（</w:t>
                  </w:r>
                  <w:r>
                    <w:rPr>
                      <w:rFonts w:hint="default" w:ascii="Times New Roman" w:hAnsi="Times New Roman" w:eastAsia="宋体" w:cs="Times New Roman"/>
                      <w:color w:val="000000"/>
                      <w:kern w:val="0"/>
                      <w:sz w:val="20"/>
                      <w:szCs w:val="20"/>
                      <w:highlight w:val="none"/>
                      <w:lang w:val="en-US" w:eastAsia="zh-CN" w:bidi="ar"/>
                    </w:rPr>
                    <w:t>A</w:t>
                  </w:r>
                  <w:r>
                    <w:rPr>
                      <w:rFonts w:hint="eastAsia" w:ascii="Times New Roman" w:hAnsi="Times New Roman" w:eastAsia="宋体" w:cs="Times New Roman"/>
                      <w:color w:val="000000"/>
                      <w:kern w:val="0"/>
                      <w:sz w:val="20"/>
                      <w:szCs w:val="20"/>
                      <w:highlight w:val="none"/>
                      <w:lang w:val="en-US" w:eastAsia="zh-CN" w:bidi="ar"/>
                    </w:rPr>
                    <w:t>）</w:t>
                  </w:r>
                </w:p>
              </w:tc>
              <w:tc>
                <w:tcPr>
                  <w:tcW w:w="160" w:type="pct"/>
                  <w:vMerge w:val="restart"/>
                  <w:tcBorders>
                    <w:tl2br w:val="nil"/>
                    <w:tr2bl w:val="nil"/>
                  </w:tcBorders>
                  <w:noWrap w:val="0"/>
                  <w:vAlign w:val="center"/>
                </w:tcPr>
                <w:p w14:paraId="3CD86869">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运行时段</w:t>
                  </w:r>
                </w:p>
              </w:tc>
              <w:tc>
                <w:tcPr>
                  <w:tcW w:w="281" w:type="pct"/>
                  <w:vMerge w:val="restart"/>
                  <w:tcBorders>
                    <w:tl2br w:val="nil"/>
                    <w:tr2bl w:val="nil"/>
                  </w:tcBorders>
                  <w:noWrap w:val="0"/>
                  <w:vAlign w:val="center"/>
                </w:tcPr>
                <w:p w14:paraId="00B248AF">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建筑物插入损失dB</w:t>
                  </w:r>
                  <w:r>
                    <w:rPr>
                      <w:rFonts w:hint="eastAsia" w:ascii="Times New Roman" w:hAnsi="Times New Roman" w:eastAsia="宋体" w:cs="Times New Roman"/>
                      <w:color w:val="000000"/>
                      <w:kern w:val="0"/>
                      <w:sz w:val="20"/>
                      <w:szCs w:val="20"/>
                      <w:highlight w:val="none"/>
                      <w:lang w:val="en-US" w:eastAsia="zh-CN" w:bidi="ar"/>
                    </w:rPr>
                    <w:t>（</w:t>
                  </w:r>
                  <w:r>
                    <w:rPr>
                      <w:rFonts w:hint="default" w:ascii="Times New Roman" w:hAnsi="Times New Roman" w:eastAsia="宋体" w:cs="Times New Roman"/>
                      <w:color w:val="000000"/>
                      <w:kern w:val="0"/>
                      <w:sz w:val="20"/>
                      <w:szCs w:val="20"/>
                      <w:highlight w:val="none"/>
                      <w:lang w:val="en-US" w:eastAsia="zh-CN" w:bidi="ar"/>
                    </w:rPr>
                    <w:t>A</w:t>
                  </w:r>
                  <w:r>
                    <w:rPr>
                      <w:rFonts w:hint="eastAsia" w:ascii="Times New Roman" w:hAnsi="Times New Roman" w:eastAsia="宋体" w:cs="Times New Roman"/>
                      <w:color w:val="000000"/>
                      <w:kern w:val="0"/>
                      <w:sz w:val="20"/>
                      <w:szCs w:val="20"/>
                      <w:highlight w:val="none"/>
                      <w:lang w:val="en-US" w:eastAsia="zh-CN" w:bidi="ar"/>
                    </w:rPr>
                    <w:t>）</w:t>
                  </w:r>
                </w:p>
              </w:tc>
              <w:tc>
                <w:tcPr>
                  <w:tcW w:w="1030" w:type="pct"/>
                  <w:gridSpan w:val="4"/>
                  <w:tcBorders>
                    <w:tl2br w:val="nil"/>
                    <w:tr2bl w:val="nil"/>
                  </w:tcBorders>
                  <w:noWrap w:val="0"/>
                  <w:vAlign w:val="center"/>
                </w:tcPr>
                <w:p w14:paraId="7DF689F3">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建筑物外噪声dB</w:t>
                  </w:r>
                  <w:r>
                    <w:rPr>
                      <w:rFonts w:hint="eastAsia" w:ascii="Times New Roman" w:hAnsi="Times New Roman" w:eastAsia="宋体" w:cs="Times New Roman"/>
                      <w:color w:val="000000"/>
                      <w:kern w:val="0"/>
                      <w:sz w:val="20"/>
                      <w:szCs w:val="20"/>
                      <w:highlight w:val="none"/>
                      <w:lang w:val="en-US" w:eastAsia="zh-CN" w:bidi="ar"/>
                    </w:rPr>
                    <w:t>（</w:t>
                  </w:r>
                  <w:r>
                    <w:rPr>
                      <w:rFonts w:hint="default" w:ascii="Times New Roman" w:hAnsi="Times New Roman" w:eastAsia="宋体" w:cs="Times New Roman"/>
                      <w:color w:val="000000"/>
                      <w:kern w:val="0"/>
                      <w:sz w:val="20"/>
                      <w:szCs w:val="20"/>
                      <w:highlight w:val="none"/>
                      <w:lang w:val="en-US" w:eastAsia="zh-CN" w:bidi="ar"/>
                    </w:rPr>
                    <w:t>A</w:t>
                  </w:r>
                  <w:r>
                    <w:rPr>
                      <w:rFonts w:hint="eastAsia" w:ascii="Times New Roman" w:hAnsi="Times New Roman" w:eastAsia="宋体" w:cs="Times New Roman"/>
                      <w:color w:val="000000"/>
                      <w:kern w:val="0"/>
                      <w:sz w:val="20"/>
                      <w:szCs w:val="20"/>
                      <w:highlight w:val="none"/>
                      <w:lang w:val="en-US" w:eastAsia="zh-CN" w:bidi="ar"/>
                    </w:rPr>
                    <w:t>）</w:t>
                  </w:r>
                </w:p>
              </w:tc>
            </w:tr>
            <w:tr w14:paraId="188C7E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19" w:type="pct"/>
                  <w:vMerge w:val="continue"/>
                  <w:tcBorders>
                    <w:tl2br w:val="nil"/>
                    <w:tr2bl w:val="nil"/>
                  </w:tcBorders>
                  <w:noWrap w:val="0"/>
                  <w:vAlign w:val="center"/>
                </w:tcPr>
                <w:p w14:paraId="5CC199B7">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339" w:type="pct"/>
                  <w:gridSpan w:val="2"/>
                  <w:vMerge w:val="continue"/>
                  <w:tcBorders>
                    <w:tl2br w:val="nil"/>
                    <w:tr2bl w:val="nil"/>
                  </w:tcBorders>
                  <w:noWrap w:val="0"/>
                  <w:vAlign w:val="center"/>
                </w:tcPr>
                <w:p w14:paraId="5AAEA4F7">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452" w:type="pct"/>
                  <w:vMerge w:val="continue"/>
                  <w:tcBorders>
                    <w:tl2br w:val="nil"/>
                    <w:tr2bl w:val="nil"/>
                  </w:tcBorders>
                  <w:noWrap w:val="0"/>
                  <w:vAlign w:val="center"/>
                </w:tcPr>
                <w:p w14:paraId="7DCF78D6">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73" w:type="pct"/>
                  <w:vMerge w:val="continue"/>
                  <w:tcBorders>
                    <w:tl2br w:val="nil"/>
                    <w:tr2bl w:val="nil"/>
                  </w:tcBorders>
                  <w:noWrap w:val="0"/>
                  <w:vAlign w:val="center"/>
                </w:tcPr>
                <w:p w14:paraId="7DAF5076">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17" w:type="pct"/>
                  <w:vMerge w:val="continue"/>
                  <w:tcBorders>
                    <w:tl2br w:val="nil"/>
                    <w:tr2bl w:val="nil"/>
                  </w:tcBorders>
                  <w:noWrap w:val="0"/>
                  <w:vAlign w:val="center"/>
                </w:tcPr>
                <w:p w14:paraId="6E89F366">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32D21D84">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X</w:t>
                  </w:r>
                </w:p>
              </w:tc>
              <w:tc>
                <w:tcPr>
                  <w:tcW w:w="160" w:type="pct"/>
                  <w:tcBorders>
                    <w:tl2br w:val="nil"/>
                    <w:tr2bl w:val="nil"/>
                  </w:tcBorders>
                  <w:noWrap w:val="0"/>
                  <w:vAlign w:val="center"/>
                </w:tcPr>
                <w:p w14:paraId="1944351C">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Y</w:t>
                  </w:r>
                </w:p>
              </w:tc>
              <w:tc>
                <w:tcPr>
                  <w:tcW w:w="163" w:type="pct"/>
                  <w:tcBorders>
                    <w:tl2br w:val="nil"/>
                    <w:tr2bl w:val="nil"/>
                  </w:tcBorders>
                  <w:noWrap w:val="0"/>
                  <w:vAlign w:val="center"/>
                </w:tcPr>
                <w:p w14:paraId="08F92D00">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Z</w:t>
                  </w:r>
                </w:p>
              </w:tc>
              <w:tc>
                <w:tcPr>
                  <w:tcW w:w="198" w:type="pct"/>
                  <w:tcBorders>
                    <w:tl2br w:val="nil"/>
                    <w:tr2bl w:val="nil"/>
                  </w:tcBorders>
                  <w:noWrap w:val="0"/>
                  <w:vAlign w:val="center"/>
                </w:tcPr>
                <w:p w14:paraId="754A4F4E">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东侧</w:t>
                  </w:r>
                </w:p>
              </w:tc>
              <w:tc>
                <w:tcPr>
                  <w:tcW w:w="160" w:type="pct"/>
                  <w:tcBorders>
                    <w:tl2br w:val="nil"/>
                    <w:tr2bl w:val="nil"/>
                  </w:tcBorders>
                  <w:noWrap w:val="0"/>
                  <w:vAlign w:val="center"/>
                </w:tcPr>
                <w:p w14:paraId="0FBCF11A">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南侧</w:t>
                  </w:r>
                </w:p>
              </w:tc>
              <w:tc>
                <w:tcPr>
                  <w:tcW w:w="198" w:type="pct"/>
                  <w:tcBorders>
                    <w:tl2br w:val="nil"/>
                    <w:tr2bl w:val="nil"/>
                  </w:tcBorders>
                  <w:noWrap w:val="0"/>
                  <w:vAlign w:val="center"/>
                </w:tcPr>
                <w:p w14:paraId="43E941A9">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西侧</w:t>
                  </w:r>
                </w:p>
              </w:tc>
              <w:tc>
                <w:tcPr>
                  <w:tcW w:w="173" w:type="pct"/>
                  <w:tcBorders>
                    <w:tl2br w:val="nil"/>
                    <w:tr2bl w:val="nil"/>
                  </w:tcBorders>
                  <w:noWrap w:val="0"/>
                  <w:vAlign w:val="center"/>
                </w:tcPr>
                <w:p w14:paraId="7BCB6846">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北侧</w:t>
                  </w:r>
                </w:p>
              </w:tc>
              <w:tc>
                <w:tcPr>
                  <w:tcW w:w="208" w:type="pct"/>
                  <w:tcBorders>
                    <w:tl2br w:val="nil"/>
                    <w:tr2bl w:val="nil"/>
                  </w:tcBorders>
                  <w:noWrap w:val="0"/>
                  <w:vAlign w:val="center"/>
                </w:tcPr>
                <w:p w14:paraId="0D4CF634">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东侧</w:t>
                  </w:r>
                </w:p>
              </w:tc>
              <w:tc>
                <w:tcPr>
                  <w:tcW w:w="218" w:type="pct"/>
                  <w:tcBorders>
                    <w:tl2br w:val="nil"/>
                    <w:tr2bl w:val="nil"/>
                  </w:tcBorders>
                  <w:noWrap w:val="0"/>
                  <w:vAlign w:val="center"/>
                </w:tcPr>
                <w:p w14:paraId="07DF9BC9">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南侧</w:t>
                  </w:r>
                </w:p>
              </w:tc>
              <w:tc>
                <w:tcPr>
                  <w:tcW w:w="218" w:type="pct"/>
                  <w:tcBorders>
                    <w:tl2br w:val="nil"/>
                    <w:tr2bl w:val="nil"/>
                  </w:tcBorders>
                  <w:noWrap w:val="0"/>
                  <w:vAlign w:val="center"/>
                </w:tcPr>
                <w:p w14:paraId="41F26C58">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西侧</w:t>
                  </w:r>
                </w:p>
              </w:tc>
              <w:tc>
                <w:tcPr>
                  <w:tcW w:w="225" w:type="pct"/>
                  <w:tcBorders>
                    <w:tl2br w:val="nil"/>
                    <w:tr2bl w:val="nil"/>
                  </w:tcBorders>
                  <w:noWrap w:val="0"/>
                  <w:vAlign w:val="center"/>
                </w:tcPr>
                <w:p w14:paraId="7C51F29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北侧</w:t>
                  </w:r>
                </w:p>
              </w:tc>
              <w:tc>
                <w:tcPr>
                  <w:tcW w:w="160" w:type="pct"/>
                  <w:vMerge w:val="continue"/>
                  <w:tcBorders>
                    <w:tl2br w:val="nil"/>
                    <w:tr2bl w:val="nil"/>
                  </w:tcBorders>
                  <w:noWrap w:val="0"/>
                  <w:vAlign w:val="center"/>
                </w:tcPr>
                <w:p w14:paraId="34F40424">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793CD47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tcBorders>
                    <w:tl2br w:val="nil"/>
                    <w:tr2bl w:val="nil"/>
                  </w:tcBorders>
                  <w:noWrap w:val="0"/>
                  <w:vAlign w:val="center"/>
                </w:tcPr>
                <w:p w14:paraId="76A3812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东侧</w:t>
                  </w:r>
                </w:p>
              </w:tc>
              <w:tc>
                <w:tcPr>
                  <w:tcW w:w="257" w:type="pct"/>
                  <w:tcBorders>
                    <w:tl2br w:val="nil"/>
                    <w:tr2bl w:val="nil"/>
                  </w:tcBorders>
                  <w:noWrap w:val="0"/>
                  <w:vAlign w:val="center"/>
                </w:tcPr>
                <w:p w14:paraId="31DBCB47">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南侧</w:t>
                  </w:r>
                </w:p>
              </w:tc>
              <w:tc>
                <w:tcPr>
                  <w:tcW w:w="257" w:type="pct"/>
                  <w:tcBorders>
                    <w:tl2br w:val="nil"/>
                    <w:tr2bl w:val="nil"/>
                  </w:tcBorders>
                  <w:noWrap w:val="0"/>
                  <w:vAlign w:val="center"/>
                </w:tcPr>
                <w:p w14:paraId="40B96431">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西侧</w:t>
                  </w:r>
                </w:p>
              </w:tc>
              <w:tc>
                <w:tcPr>
                  <w:tcW w:w="258" w:type="pct"/>
                  <w:tcBorders>
                    <w:tl2br w:val="nil"/>
                    <w:tr2bl w:val="nil"/>
                  </w:tcBorders>
                  <w:noWrap w:val="0"/>
                  <w:vAlign w:val="center"/>
                </w:tcPr>
                <w:p w14:paraId="3F9BCE69">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北侧</w:t>
                  </w:r>
                </w:p>
              </w:tc>
            </w:tr>
            <w:tr w14:paraId="1143B0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7749222C">
                  <w:pPr>
                    <w:widowControl/>
                    <w:jc w:val="center"/>
                    <w:textAlignment w:val="center"/>
                    <w:rPr>
                      <w:rFonts w:hint="default" w:ascii="Times New Roman" w:hAnsi="Times New Roman" w:eastAsia="宋体" w:cs="Times New Roman"/>
                      <w:color w:val="000000"/>
                      <w:kern w:val="0"/>
                      <w:sz w:val="20"/>
                      <w:szCs w:val="20"/>
                      <w:highlight w:val="none"/>
                      <w:lang w:bidi="ar"/>
                    </w:rPr>
                  </w:pPr>
                  <w:bookmarkStart w:id="9" w:name="OLE_LINK1" w:colFirst="3" w:colLast="3"/>
                  <w:r>
                    <w:rPr>
                      <w:rFonts w:hint="default" w:ascii="Times New Roman" w:hAnsi="Times New Roman" w:eastAsia="宋体" w:cs="Times New Roman"/>
                      <w:color w:val="000000"/>
                      <w:kern w:val="0"/>
                      <w:sz w:val="20"/>
                      <w:szCs w:val="20"/>
                      <w:highlight w:val="none"/>
                      <w:lang w:val="en-US" w:eastAsia="zh-CN" w:bidi="ar"/>
                    </w:rPr>
                    <w:t>1</w:t>
                  </w:r>
                </w:p>
              </w:tc>
              <w:tc>
                <w:tcPr>
                  <w:tcW w:w="160" w:type="pct"/>
                  <w:vMerge w:val="restart"/>
                  <w:tcBorders>
                    <w:tl2br w:val="nil"/>
                    <w:tr2bl w:val="nil"/>
                  </w:tcBorders>
                  <w:noWrap w:val="0"/>
                  <w:vAlign w:val="center"/>
                </w:tcPr>
                <w:p w14:paraId="65A84D72">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eastAsia" w:ascii="Times New Roman" w:hAnsi="Times New Roman" w:eastAsia="宋体" w:cs="Times New Roman"/>
                      <w:color w:val="000000"/>
                      <w:kern w:val="0"/>
                      <w:sz w:val="20"/>
                      <w:szCs w:val="20"/>
                      <w:highlight w:val="none"/>
                      <w:lang w:val="en-US" w:eastAsia="zh-CN" w:bidi="ar"/>
                    </w:rPr>
                    <w:t>29号B栋</w:t>
                  </w:r>
                </w:p>
              </w:tc>
              <w:tc>
                <w:tcPr>
                  <w:tcW w:w="179" w:type="pct"/>
                  <w:vMerge w:val="restart"/>
                  <w:tcBorders>
                    <w:tl2br w:val="nil"/>
                    <w:tr2bl w:val="nil"/>
                  </w:tcBorders>
                  <w:noWrap w:val="0"/>
                  <w:vAlign w:val="center"/>
                </w:tcPr>
                <w:p w14:paraId="137714C5">
                  <w:pPr>
                    <w:widowControl/>
                    <w:jc w:val="center"/>
                    <w:textAlignment w:val="center"/>
                    <w:rPr>
                      <w:rFonts w:hint="eastAsia" w:ascii="Times New Roman" w:hAnsi="Times New Roman" w:eastAsia="宋体" w:cs="Times New Roman"/>
                      <w:color w:val="000000"/>
                      <w:kern w:val="0"/>
                      <w:sz w:val="20"/>
                      <w:szCs w:val="20"/>
                      <w:highlight w:val="none"/>
                      <w:lang w:val="en-US" w:eastAsia="zh-CN" w:bidi="ar"/>
                    </w:rPr>
                  </w:pPr>
                  <w:r>
                    <w:rPr>
                      <w:rFonts w:hint="eastAsia" w:ascii="Times New Roman" w:hAnsi="Times New Roman" w:eastAsia="宋体" w:cs="Times New Roman"/>
                      <w:color w:val="000000"/>
                      <w:kern w:val="0"/>
                      <w:sz w:val="20"/>
                      <w:szCs w:val="20"/>
                      <w:highlight w:val="none"/>
                      <w:lang w:val="en-US" w:eastAsia="zh-CN" w:bidi="ar"/>
                    </w:rPr>
                    <w:t>1楼</w:t>
                  </w:r>
                </w:p>
              </w:tc>
              <w:tc>
                <w:tcPr>
                  <w:tcW w:w="452" w:type="pct"/>
                  <w:tcBorders>
                    <w:tl2br w:val="nil"/>
                    <w:tr2bl w:val="nil"/>
                  </w:tcBorders>
                  <w:noWrap w:val="0"/>
                  <w:vAlign w:val="top"/>
                </w:tcPr>
                <w:p w14:paraId="64D0E68C">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高频机</w:t>
                  </w:r>
                </w:p>
                <w:p w14:paraId="3A283348">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w:t>
                  </w:r>
                  <w:r>
                    <w:rPr>
                      <w:rFonts w:hint="eastAsia" w:ascii="Times New Roman" w:hAnsi="Times New Roman" w:eastAsia="宋体" w:cs="Times New Roman"/>
                      <w:color w:val="000000"/>
                      <w:kern w:val="0"/>
                      <w:sz w:val="20"/>
                      <w:szCs w:val="20"/>
                      <w:highlight w:val="none"/>
                      <w:lang w:val="en-US" w:eastAsia="zh-CN" w:bidi="ar"/>
                    </w:rPr>
                    <w:t>7</w:t>
                  </w:r>
                  <w:r>
                    <w:rPr>
                      <w:rFonts w:hint="default" w:ascii="Times New Roman" w:hAnsi="Times New Roman" w:eastAsia="宋体" w:cs="Times New Roman"/>
                      <w:color w:val="000000"/>
                      <w:kern w:val="0"/>
                      <w:sz w:val="20"/>
                      <w:szCs w:val="20"/>
                      <w:highlight w:val="none"/>
                      <w:lang w:val="en-US" w:eastAsia="zh-CN" w:bidi="ar"/>
                    </w:rPr>
                    <w:t>台）</w:t>
                  </w:r>
                </w:p>
              </w:tc>
              <w:tc>
                <w:tcPr>
                  <w:tcW w:w="273" w:type="pct"/>
                  <w:tcBorders>
                    <w:tl2br w:val="nil"/>
                    <w:tr2bl w:val="nil"/>
                  </w:tcBorders>
                  <w:noWrap w:val="0"/>
                  <w:vAlign w:val="center"/>
                </w:tcPr>
                <w:p w14:paraId="7C0A9B4A">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eastAsia" w:ascii="Times New Roman" w:hAnsi="Times New Roman" w:eastAsia="宋体" w:cs="Times New Roman"/>
                      <w:color w:val="000000"/>
                      <w:kern w:val="0"/>
                      <w:sz w:val="20"/>
                      <w:szCs w:val="20"/>
                      <w:highlight w:val="none"/>
                      <w:lang w:val="en-US" w:eastAsia="zh-CN" w:bidi="ar"/>
                    </w:rPr>
                    <w:t>83</w:t>
                  </w:r>
                </w:p>
              </w:tc>
              <w:tc>
                <w:tcPr>
                  <w:tcW w:w="217" w:type="pct"/>
                  <w:vMerge w:val="restart"/>
                  <w:tcBorders>
                    <w:tl2br w:val="nil"/>
                    <w:tr2bl w:val="nil"/>
                  </w:tcBorders>
                  <w:noWrap w:val="0"/>
                  <w:vAlign w:val="center"/>
                </w:tcPr>
                <w:p w14:paraId="2927E993">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厂房隔声、减振</w:t>
                  </w:r>
                </w:p>
              </w:tc>
              <w:tc>
                <w:tcPr>
                  <w:tcW w:w="198" w:type="pct"/>
                  <w:tcBorders>
                    <w:tl2br w:val="nil"/>
                    <w:tr2bl w:val="nil"/>
                  </w:tcBorders>
                  <w:noWrap w:val="0"/>
                  <w:vAlign w:val="center"/>
                </w:tcPr>
                <w:p w14:paraId="20279DC4">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23</w:t>
                  </w:r>
                </w:p>
              </w:tc>
              <w:tc>
                <w:tcPr>
                  <w:tcW w:w="160" w:type="pct"/>
                  <w:tcBorders>
                    <w:tl2br w:val="nil"/>
                    <w:tr2bl w:val="nil"/>
                  </w:tcBorders>
                  <w:noWrap w:val="0"/>
                  <w:vAlign w:val="center"/>
                </w:tcPr>
                <w:p w14:paraId="6ECEBB64">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25</w:t>
                  </w:r>
                </w:p>
              </w:tc>
              <w:tc>
                <w:tcPr>
                  <w:tcW w:w="163" w:type="pct"/>
                  <w:tcBorders>
                    <w:tl2br w:val="nil"/>
                    <w:tr2bl w:val="nil"/>
                  </w:tcBorders>
                  <w:noWrap w:val="0"/>
                  <w:vAlign w:val="center"/>
                </w:tcPr>
                <w:p w14:paraId="4728098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1</w:t>
                  </w:r>
                </w:p>
              </w:tc>
              <w:tc>
                <w:tcPr>
                  <w:tcW w:w="198" w:type="pct"/>
                  <w:tcBorders>
                    <w:tl2br w:val="nil"/>
                    <w:tr2bl w:val="nil"/>
                  </w:tcBorders>
                  <w:noWrap w:val="0"/>
                  <w:vAlign w:val="center"/>
                </w:tcPr>
                <w:p w14:paraId="34A6D8F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22</w:t>
                  </w:r>
                </w:p>
              </w:tc>
              <w:tc>
                <w:tcPr>
                  <w:tcW w:w="160" w:type="pct"/>
                  <w:tcBorders>
                    <w:tl2br w:val="nil"/>
                    <w:tr2bl w:val="nil"/>
                  </w:tcBorders>
                  <w:noWrap w:val="0"/>
                  <w:vAlign w:val="center"/>
                </w:tcPr>
                <w:p w14:paraId="1ACF53A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25</w:t>
                  </w:r>
                </w:p>
              </w:tc>
              <w:tc>
                <w:tcPr>
                  <w:tcW w:w="198" w:type="pct"/>
                  <w:tcBorders>
                    <w:tl2br w:val="nil"/>
                    <w:tr2bl w:val="nil"/>
                  </w:tcBorders>
                  <w:noWrap w:val="0"/>
                  <w:vAlign w:val="center"/>
                </w:tcPr>
                <w:p w14:paraId="001C747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23</w:t>
                  </w:r>
                </w:p>
              </w:tc>
              <w:tc>
                <w:tcPr>
                  <w:tcW w:w="173" w:type="pct"/>
                  <w:tcBorders>
                    <w:tl2br w:val="nil"/>
                    <w:tr2bl w:val="nil"/>
                  </w:tcBorders>
                  <w:noWrap w:val="0"/>
                  <w:vAlign w:val="center"/>
                </w:tcPr>
                <w:p w14:paraId="1817C54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10</w:t>
                  </w:r>
                </w:p>
              </w:tc>
              <w:tc>
                <w:tcPr>
                  <w:tcW w:w="208" w:type="pct"/>
                  <w:tcBorders>
                    <w:tl2br w:val="nil"/>
                    <w:tr2bl w:val="nil"/>
                  </w:tcBorders>
                  <w:noWrap w:val="0"/>
                  <w:vAlign w:val="center"/>
                </w:tcPr>
                <w:p w14:paraId="679B52E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18" w:type="pct"/>
                  <w:tcBorders>
                    <w:tl2br w:val="nil"/>
                    <w:tr2bl w:val="nil"/>
                  </w:tcBorders>
                  <w:noWrap w:val="0"/>
                  <w:vAlign w:val="center"/>
                </w:tcPr>
                <w:p w14:paraId="19090EE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18" w:type="pct"/>
                  <w:tcBorders>
                    <w:tl2br w:val="nil"/>
                    <w:tr2bl w:val="nil"/>
                  </w:tcBorders>
                  <w:noWrap w:val="0"/>
                  <w:vAlign w:val="center"/>
                </w:tcPr>
                <w:p w14:paraId="55A6C9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25" w:type="pct"/>
                  <w:tcBorders>
                    <w:tl2br w:val="nil"/>
                    <w:tr2bl w:val="nil"/>
                  </w:tcBorders>
                  <w:noWrap w:val="0"/>
                  <w:vAlign w:val="center"/>
                </w:tcPr>
                <w:p w14:paraId="5076D8F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43.4</w:t>
                  </w:r>
                </w:p>
              </w:tc>
              <w:tc>
                <w:tcPr>
                  <w:tcW w:w="160" w:type="pct"/>
                  <w:vMerge w:val="restart"/>
                  <w:tcBorders>
                    <w:tl2br w:val="nil"/>
                    <w:tr2bl w:val="nil"/>
                  </w:tcBorders>
                  <w:noWrap w:val="0"/>
                  <w:vAlign w:val="center"/>
                </w:tcPr>
                <w:p w14:paraId="0FB16A02">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昼间</w:t>
                  </w:r>
                </w:p>
              </w:tc>
              <w:tc>
                <w:tcPr>
                  <w:tcW w:w="281" w:type="pct"/>
                  <w:vMerge w:val="restart"/>
                  <w:tcBorders>
                    <w:tl2br w:val="nil"/>
                    <w:tr2bl w:val="nil"/>
                  </w:tcBorders>
                  <w:noWrap w:val="0"/>
                  <w:vAlign w:val="center"/>
                </w:tcPr>
                <w:p w14:paraId="41CB70BB">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10.0</w:t>
                  </w:r>
                </w:p>
              </w:tc>
              <w:tc>
                <w:tcPr>
                  <w:tcW w:w="257" w:type="pct"/>
                  <w:vMerge w:val="restart"/>
                  <w:tcBorders>
                    <w:tl2br w:val="nil"/>
                    <w:tr2bl w:val="nil"/>
                  </w:tcBorders>
                  <w:noWrap w:val="0"/>
                  <w:vAlign w:val="center"/>
                </w:tcPr>
                <w:p w14:paraId="16855150">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eastAsia" w:ascii="Times New Roman" w:hAnsi="Times New Roman" w:eastAsia="宋体" w:cs="Times New Roman"/>
                      <w:color w:val="000000"/>
                      <w:kern w:val="0"/>
                      <w:sz w:val="20"/>
                      <w:szCs w:val="20"/>
                      <w:highlight w:val="none"/>
                      <w:lang w:val="en-US" w:eastAsia="zh-CN" w:bidi="ar"/>
                    </w:rPr>
                    <w:t>36.0</w:t>
                  </w:r>
                </w:p>
              </w:tc>
              <w:tc>
                <w:tcPr>
                  <w:tcW w:w="257" w:type="pct"/>
                  <w:vMerge w:val="restart"/>
                  <w:tcBorders>
                    <w:tl2br w:val="nil"/>
                    <w:tr2bl w:val="nil"/>
                  </w:tcBorders>
                  <w:noWrap w:val="0"/>
                  <w:vAlign w:val="center"/>
                </w:tcPr>
                <w:p w14:paraId="5CA39EC3">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eastAsia" w:ascii="Times New Roman" w:hAnsi="Times New Roman" w:eastAsia="宋体" w:cs="Times New Roman"/>
                      <w:color w:val="000000"/>
                      <w:kern w:val="0"/>
                      <w:sz w:val="20"/>
                      <w:szCs w:val="20"/>
                      <w:highlight w:val="none"/>
                      <w:lang w:val="en-US" w:eastAsia="zh-CN" w:bidi="ar"/>
                    </w:rPr>
                    <w:t>35.9</w:t>
                  </w:r>
                  <w:r>
                    <w:rPr>
                      <w:rFonts w:hint="default" w:ascii="Times New Roman" w:hAnsi="Times New Roman" w:eastAsia="宋体" w:cs="Times New Roman"/>
                      <w:color w:val="000000"/>
                      <w:kern w:val="0"/>
                      <w:sz w:val="20"/>
                      <w:szCs w:val="20"/>
                      <w:highlight w:val="none"/>
                      <w:lang w:val="en-US" w:eastAsia="zh-CN" w:bidi="ar"/>
                    </w:rPr>
                    <w:t xml:space="preserve"> </w:t>
                  </w:r>
                </w:p>
              </w:tc>
              <w:tc>
                <w:tcPr>
                  <w:tcW w:w="257" w:type="pct"/>
                  <w:vMerge w:val="restart"/>
                  <w:tcBorders>
                    <w:tl2br w:val="nil"/>
                    <w:tr2bl w:val="nil"/>
                  </w:tcBorders>
                  <w:noWrap w:val="0"/>
                  <w:vAlign w:val="center"/>
                </w:tcPr>
                <w:p w14:paraId="49092CC1">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eastAsia" w:ascii="Times New Roman" w:hAnsi="Times New Roman" w:eastAsia="宋体" w:cs="Times New Roman"/>
                      <w:color w:val="000000"/>
                      <w:kern w:val="0"/>
                      <w:sz w:val="20"/>
                      <w:szCs w:val="20"/>
                      <w:highlight w:val="none"/>
                      <w:lang w:val="en-US" w:eastAsia="zh-CN" w:bidi="ar"/>
                    </w:rPr>
                    <w:t>35.9</w:t>
                  </w:r>
                  <w:r>
                    <w:rPr>
                      <w:rFonts w:hint="default" w:ascii="Times New Roman" w:hAnsi="Times New Roman" w:eastAsia="宋体" w:cs="Times New Roman"/>
                      <w:color w:val="000000"/>
                      <w:kern w:val="0"/>
                      <w:sz w:val="20"/>
                      <w:szCs w:val="20"/>
                      <w:highlight w:val="none"/>
                      <w:lang w:val="en-US" w:eastAsia="zh-CN" w:bidi="ar"/>
                    </w:rPr>
                    <w:t xml:space="preserve"> </w:t>
                  </w:r>
                </w:p>
              </w:tc>
              <w:tc>
                <w:tcPr>
                  <w:tcW w:w="258" w:type="pct"/>
                  <w:vMerge w:val="restart"/>
                  <w:tcBorders>
                    <w:tl2br w:val="nil"/>
                    <w:tr2bl w:val="nil"/>
                  </w:tcBorders>
                  <w:noWrap w:val="0"/>
                  <w:vAlign w:val="center"/>
                </w:tcPr>
                <w:p w14:paraId="11F4A75D">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eastAsia" w:ascii="Times New Roman" w:hAnsi="Times New Roman" w:eastAsia="宋体" w:cs="Times New Roman"/>
                      <w:color w:val="000000"/>
                      <w:kern w:val="0"/>
                      <w:sz w:val="20"/>
                      <w:szCs w:val="20"/>
                      <w:highlight w:val="none"/>
                      <w:lang w:val="en-US" w:eastAsia="zh-CN" w:bidi="ar"/>
                    </w:rPr>
                    <w:t>37.2</w:t>
                  </w:r>
                </w:p>
              </w:tc>
            </w:tr>
            <w:tr w14:paraId="0067D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1E65354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2</w:t>
                  </w:r>
                </w:p>
              </w:tc>
              <w:tc>
                <w:tcPr>
                  <w:tcW w:w="160" w:type="pct"/>
                  <w:vMerge w:val="continue"/>
                  <w:tcBorders>
                    <w:tl2br w:val="nil"/>
                    <w:tr2bl w:val="nil"/>
                  </w:tcBorders>
                  <w:noWrap w:val="0"/>
                  <w:vAlign w:val="center"/>
                </w:tcPr>
                <w:p w14:paraId="36576DB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79" w:type="pct"/>
                  <w:vMerge w:val="continue"/>
                  <w:tcBorders>
                    <w:tl2br w:val="nil"/>
                    <w:tr2bl w:val="nil"/>
                  </w:tcBorders>
                  <w:noWrap w:val="0"/>
                  <w:vAlign w:val="center"/>
                </w:tcPr>
                <w:p w14:paraId="12B271D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452" w:type="pct"/>
                  <w:tcBorders>
                    <w:tl2br w:val="nil"/>
                    <w:tr2bl w:val="nil"/>
                  </w:tcBorders>
                  <w:noWrap w:val="0"/>
                  <w:vAlign w:val="top"/>
                </w:tcPr>
                <w:p w14:paraId="1002933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上下片裁床</w:t>
                  </w:r>
                </w:p>
                <w:p w14:paraId="2ADF8CA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（1台）</w:t>
                  </w:r>
                </w:p>
              </w:tc>
              <w:tc>
                <w:tcPr>
                  <w:tcW w:w="273" w:type="pct"/>
                  <w:tcBorders>
                    <w:tl2br w:val="nil"/>
                    <w:tr2bl w:val="nil"/>
                  </w:tcBorders>
                  <w:noWrap w:val="0"/>
                  <w:vAlign w:val="center"/>
                </w:tcPr>
                <w:p w14:paraId="79A214EF">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75</w:t>
                  </w:r>
                </w:p>
              </w:tc>
              <w:tc>
                <w:tcPr>
                  <w:tcW w:w="217" w:type="pct"/>
                  <w:vMerge w:val="continue"/>
                  <w:tcBorders>
                    <w:tl2br w:val="nil"/>
                    <w:tr2bl w:val="nil"/>
                  </w:tcBorders>
                  <w:noWrap w:val="0"/>
                  <w:vAlign w:val="center"/>
                </w:tcPr>
                <w:p w14:paraId="508B903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74E6C602">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5</w:t>
                  </w:r>
                </w:p>
              </w:tc>
              <w:tc>
                <w:tcPr>
                  <w:tcW w:w="160" w:type="pct"/>
                  <w:tcBorders>
                    <w:tl2br w:val="nil"/>
                    <w:tr2bl w:val="nil"/>
                  </w:tcBorders>
                  <w:noWrap w:val="0"/>
                  <w:vAlign w:val="center"/>
                </w:tcPr>
                <w:p w14:paraId="02C8354C">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18</w:t>
                  </w:r>
                </w:p>
              </w:tc>
              <w:tc>
                <w:tcPr>
                  <w:tcW w:w="163" w:type="pct"/>
                  <w:tcBorders>
                    <w:tl2br w:val="nil"/>
                    <w:tr2bl w:val="nil"/>
                  </w:tcBorders>
                  <w:noWrap w:val="0"/>
                  <w:vAlign w:val="center"/>
                </w:tcPr>
                <w:p w14:paraId="1B0E1FDA">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1</w:t>
                  </w:r>
                </w:p>
              </w:tc>
              <w:tc>
                <w:tcPr>
                  <w:tcW w:w="198" w:type="pct"/>
                  <w:tcBorders>
                    <w:tl2br w:val="nil"/>
                    <w:tr2bl w:val="nil"/>
                  </w:tcBorders>
                  <w:noWrap w:val="0"/>
                  <w:vAlign w:val="center"/>
                </w:tcPr>
                <w:p w14:paraId="55E4870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40</w:t>
                  </w:r>
                </w:p>
              </w:tc>
              <w:tc>
                <w:tcPr>
                  <w:tcW w:w="160" w:type="pct"/>
                  <w:tcBorders>
                    <w:tl2br w:val="nil"/>
                    <w:tr2bl w:val="nil"/>
                  </w:tcBorders>
                  <w:noWrap w:val="0"/>
                  <w:vAlign w:val="center"/>
                </w:tcPr>
                <w:p w14:paraId="3231C6A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18</w:t>
                  </w:r>
                </w:p>
              </w:tc>
              <w:tc>
                <w:tcPr>
                  <w:tcW w:w="198" w:type="pct"/>
                  <w:tcBorders>
                    <w:tl2br w:val="nil"/>
                    <w:tr2bl w:val="nil"/>
                  </w:tcBorders>
                  <w:noWrap w:val="0"/>
                  <w:vAlign w:val="center"/>
                </w:tcPr>
                <w:p w14:paraId="5212C0A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w:t>
                  </w:r>
                </w:p>
              </w:tc>
              <w:tc>
                <w:tcPr>
                  <w:tcW w:w="173" w:type="pct"/>
                  <w:tcBorders>
                    <w:tl2br w:val="nil"/>
                    <w:tr2bl w:val="nil"/>
                  </w:tcBorders>
                  <w:noWrap w:val="0"/>
                  <w:vAlign w:val="center"/>
                </w:tcPr>
                <w:p w14:paraId="6EF3A95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17</w:t>
                  </w:r>
                </w:p>
              </w:tc>
              <w:tc>
                <w:tcPr>
                  <w:tcW w:w="208" w:type="pct"/>
                  <w:tcBorders>
                    <w:tl2br w:val="nil"/>
                    <w:tr2bl w:val="nil"/>
                  </w:tcBorders>
                  <w:noWrap w:val="0"/>
                  <w:vAlign w:val="center"/>
                </w:tcPr>
                <w:p w14:paraId="7B4282F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42.9</w:t>
                  </w:r>
                </w:p>
              </w:tc>
              <w:tc>
                <w:tcPr>
                  <w:tcW w:w="218" w:type="pct"/>
                  <w:tcBorders>
                    <w:tl2br w:val="nil"/>
                    <w:tr2bl w:val="nil"/>
                  </w:tcBorders>
                  <w:noWrap w:val="0"/>
                  <w:vAlign w:val="center"/>
                </w:tcPr>
                <w:p w14:paraId="5E7D588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18" w:type="pct"/>
                  <w:tcBorders>
                    <w:tl2br w:val="nil"/>
                    <w:tr2bl w:val="nil"/>
                  </w:tcBorders>
                  <w:noWrap w:val="0"/>
                  <w:vAlign w:val="center"/>
                </w:tcPr>
                <w:p w14:paraId="307F059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44.7</w:t>
                  </w:r>
                </w:p>
              </w:tc>
              <w:tc>
                <w:tcPr>
                  <w:tcW w:w="225" w:type="pct"/>
                  <w:tcBorders>
                    <w:tl2br w:val="nil"/>
                    <w:tr2bl w:val="nil"/>
                  </w:tcBorders>
                  <w:noWrap w:val="0"/>
                  <w:vAlign w:val="center"/>
                </w:tcPr>
                <w:p w14:paraId="75EAD3B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43.1</w:t>
                  </w:r>
                </w:p>
              </w:tc>
              <w:tc>
                <w:tcPr>
                  <w:tcW w:w="160" w:type="pct"/>
                  <w:vMerge w:val="continue"/>
                  <w:tcBorders>
                    <w:tl2br w:val="nil"/>
                    <w:tr2bl w:val="nil"/>
                  </w:tcBorders>
                  <w:noWrap w:val="0"/>
                  <w:vAlign w:val="center"/>
                </w:tcPr>
                <w:p w14:paraId="39A9B44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6BA25802">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6D325CA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5AD80506">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58328DD4">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07A276E1">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5B064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6C1EE448">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3</w:t>
                  </w:r>
                </w:p>
              </w:tc>
              <w:tc>
                <w:tcPr>
                  <w:tcW w:w="160" w:type="pct"/>
                  <w:vMerge w:val="continue"/>
                  <w:tcBorders>
                    <w:tl2br w:val="nil"/>
                    <w:tr2bl w:val="nil"/>
                  </w:tcBorders>
                  <w:noWrap w:val="0"/>
                  <w:vAlign w:val="center"/>
                </w:tcPr>
                <w:p w14:paraId="0C9AE55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79" w:type="pct"/>
                  <w:vMerge w:val="continue"/>
                  <w:tcBorders>
                    <w:tl2br w:val="nil"/>
                    <w:tr2bl w:val="nil"/>
                  </w:tcBorders>
                  <w:noWrap w:val="0"/>
                  <w:vAlign w:val="center"/>
                </w:tcPr>
                <w:p w14:paraId="78DCDEE9">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452" w:type="pct"/>
                  <w:tcBorders>
                    <w:tl2br w:val="nil"/>
                    <w:tr2bl w:val="nil"/>
                  </w:tcBorders>
                  <w:noWrap w:val="0"/>
                  <w:vAlign w:val="top"/>
                </w:tcPr>
                <w:p w14:paraId="5B9C713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分切机</w:t>
                  </w:r>
                </w:p>
                <w:p w14:paraId="1536972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（1台）</w:t>
                  </w:r>
                </w:p>
              </w:tc>
              <w:tc>
                <w:tcPr>
                  <w:tcW w:w="273" w:type="pct"/>
                  <w:tcBorders>
                    <w:tl2br w:val="nil"/>
                    <w:tr2bl w:val="nil"/>
                  </w:tcBorders>
                  <w:noWrap w:val="0"/>
                  <w:vAlign w:val="center"/>
                </w:tcPr>
                <w:p w14:paraId="7CADA64C">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75</w:t>
                  </w:r>
                </w:p>
              </w:tc>
              <w:tc>
                <w:tcPr>
                  <w:tcW w:w="217" w:type="pct"/>
                  <w:vMerge w:val="continue"/>
                  <w:tcBorders>
                    <w:tl2br w:val="nil"/>
                    <w:tr2bl w:val="nil"/>
                  </w:tcBorders>
                  <w:noWrap w:val="0"/>
                  <w:vAlign w:val="center"/>
                </w:tcPr>
                <w:p w14:paraId="014E465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0BC91B29">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34</w:t>
                  </w:r>
                </w:p>
              </w:tc>
              <w:tc>
                <w:tcPr>
                  <w:tcW w:w="160" w:type="pct"/>
                  <w:tcBorders>
                    <w:tl2br w:val="nil"/>
                    <w:tr2bl w:val="nil"/>
                  </w:tcBorders>
                  <w:noWrap w:val="0"/>
                  <w:vAlign w:val="center"/>
                </w:tcPr>
                <w:p w14:paraId="41D526B6">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21</w:t>
                  </w:r>
                </w:p>
              </w:tc>
              <w:tc>
                <w:tcPr>
                  <w:tcW w:w="163" w:type="pct"/>
                  <w:tcBorders>
                    <w:tl2br w:val="nil"/>
                    <w:tr2bl w:val="nil"/>
                  </w:tcBorders>
                  <w:noWrap w:val="0"/>
                  <w:vAlign w:val="center"/>
                </w:tcPr>
                <w:p w14:paraId="7F267F24">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1</w:t>
                  </w:r>
                </w:p>
              </w:tc>
              <w:tc>
                <w:tcPr>
                  <w:tcW w:w="198" w:type="pct"/>
                  <w:tcBorders>
                    <w:tl2br w:val="nil"/>
                    <w:tr2bl w:val="nil"/>
                  </w:tcBorders>
                  <w:noWrap w:val="0"/>
                  <w:vAlign w:val="center"/>
                </w:tcPr>
                <w:p w14:paraId="46D70BD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11</w:t>
                  </w:r>
                </w:p>
              </w:tc>
              <w:tc>
                <w:tcPr>
                  <w:tcW w:w="160" w:type="pct"/>
                  <w:tcBorders>
                    <w:tl2br w:val="nil"/>
                    <w:tr2bl w:val="nil"/>
                  </w:tcBorders>
                  <w:noWrap w:val="0"/>
                  <w:vAlign w:val="center"/>
                </w:tcPr>
                <w:p w14:paraId="41D6D53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21</w:t>
                  </w:r>
                </w:p>
              </w:tc>
              <w:tc>
                <w:tcPr>
                  <w:tcW w:w="198" w:type="pct"/>
                  <w:tcBorders>
                    <w:tl2br w:val="nil"/>
                    <w:tr2bl w:val="nil"/>
                  </w:tcBorders>
                  <w:noWrap w:val="0"/>
                  <w:vAlign w:val="center"/>
                </w:tcPr>
                <w:p w14:paraId="2098E8E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34</w:t>
                  </w:r>
                </w:p>
              </w:tc>
              <w:tc>
                <w:tcPr>
                  <w:tcW w:w="173" w:type="pct"/>
                  <w:tcBorders>
                    <w:tl2br w:val="nil"/>
                    <w:tr2bl w:val="nil"/>
                  </w:tcBorders>
                  <w:noWrap w:val="0"/>
                  <w:vAlign w:val="center"/>
                </w:tcPr>
                <w:p w14:paraId="619EEBB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14</w:t>
                  </w:r>
                </w:p>
              </w:tc>
              <w:tc>
                <w:tcPr>
                  <w:tcW w:w="208" w:type="pct"/>
                  <w:tcBorders>
                    <w:tl2br w:val="nil"/>
                    <w:tr2bl w:val="nil"/>
                  </w:tcBorders>
                  <w:noWrap w:val="0"/>
                  <w:vAlign w:val="center"/>
                </w:tcPr>
                <w:p w14:paraId="35377A1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43.3</w:t>
                  </w:r>
                </w:p>
              </w:tc>
              <w:tc>
                <w:tcPr>
                  <w:tcW w:w="218" w:type="pct"/>
                  <w:tcBorders>
                    <w:tl2br w:val="nil"/>
                    <w:tr2bl w:val="nil"/>
                  </w:tcBorders>
                  <w:noWrap w:val="0"/>
                  <w:vAlign w:val="center"/>
                </w:tcPr>
                <w:p w14:paraId="373FE62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18" w:type="pct"/>
                  <w:tcBorders>
                    <w:tl2br w:val="nil"/>
                    <w:tr2bl w:val="nil"/>
                  </w:tcBorders>
                  <w:noWrap w:val="0"/>
                  <w:vAlign w:val="center"/>
                </w:tcPr>
                <w:p w14:paraId="64CF5A9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42.9</w:t>
                  </w:r>
                </w:p>
              </w:tc>
              <w:tc>
                <w:tcPr>
                  <w:tcW w:w="225" w:type="pct"/>
                  <w:tcBorders>
                    <w:tl2br w:val="nil"/>
                    <w:tr2bl w:val="nil"/>
                  </w:tcBorders>
                  <w:noWrap w:val="0"/>
                  <w:vAlign w:val="center"/>
                </w:tcPr>
                <w:p w14:paraId="5D0857A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43.2</w:t>
                  </w:r>
                </w:p>
              </w:tc>
              <w:tc>
                <w:tcPr>
                  <w:tcW w:w="160" w:type="pct"/>
                  <w:vMerge w:val="continue"/>
                  <w:tcBorders>
                    <w:tl2br w:val="nil"/>
                    <w:tr2bl w:val="nil"/>
                  </w:tcBorders>
                  <w:noWrap w:val="0"/>
                  <w:vAlign w:val="center"/>
                </w:tcPr>
                <w:p w14:paraId="6D5D32E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00F8B73D">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7D2BA722">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1145B6D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41E4002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5777EAA0">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265F38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4F9B1ED4">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4</w:t>
                  </w:r>
                </w:p>
              </w:tc>
              <w:tc>
                <w:tcPr>
                  <w:tcW w:w="160" w:type="pct"/>
                  <w:vMerge w:val="continue"/>
                  <w:tcBorders>
                    <w:tl2br w:val="nil"/>
                    <w:tr2bl w:val="nil"/>
                  </w:tcBorders>
                  <w:noWrap w:val="0"/>
                  <w:vAlign w:val="center"/>
                </w:tcPr>
                <w:p w14:paraId="4434E05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79" w:type="pct"/>
                  <w:vMerge w:val="continue"/>
                  <w:tcBorders>
                    <w:tl2br w:val="nil"/>
                    <w:tr2bl w:val="nil"/>
                  </w:tcBorders>
                  <w:noWrap w:val="0"/>
                  <w:vAlign w:val="center"/>
                </w:tcPr>
                <w:p w14:paraId="5D3CDB5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452" w:type="pct"/>
                  <w:tcBorders>
                    <w:tl2br w:val="nil"/>
                    <w:tr2bl w:val="nil"/>
                  </w:tcBorders>
                  <w:noWrap w:val="0"/>
                  <w:vAlign w:val="top"/>
                </w:tcPr>
                <w:p w14:paraId="060EEABC">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拉带机</w:t>
                  </w:r>
                </w:p>
                <w:p w14:paraId="5CFE9463">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（2台）</w:t>
                  </w:r>
                </w:p>
              </w:tc>
              <w:tc>
                <w:tcPr>
                  <w:tcW w:w="273" w:type="pct"/>
                  <w:tcBorders>
                    <w:tl2br w:val="nil"/>
                    <w:tr2bl w:val="nil"/>
                  </w:tcBorders>
                  <w:noWrap w:val="0"/>
                  <w:vAlign w:val="center"/>
                </w:tcPr>
                <w:p w14:paraId="0C613824">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78</w:t>
                  </w:r>
                </w:p>
              </w:tc>
              <w:tc>
                <w:tcPr>
                  <w:tcW w:w="217" w:type="pct"/>
                  <w:vMerge w:val="continue"/>
                  <w:tcBorders>
                    <w:tl2br w:val="nil"/>
                    <w:tr2bl w:val="nil"/>
                  </w:tcBorders>
                  <w:noWrap w:val="0"/>
                  <w:vAlign w:val="center"/>
                </w:tcPr>
                <w:p w14:paraId="730FB6B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763F9D29">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7</w:t>
                  </w:r>
                </w:p>
              </w:tc>
              <w:tc>
                <w:tcPr>
                  <w:tcW w:w="160" w:type="pct"/>
                  <w:tcBorders>
                    <w:tl2br w:val="nil"/>
                    <w:tr2bl w:val="nil"/>
                  </w:tcBorders>
                  <w:noWrap w:val="0"/>
                  <w:vAlign w:val="center"/>
                </w:tcPr>
                <w:p w14:paraId="66AF23FD">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32</w:t>
                  </w:r>
                </w:p>
              </w:tc>
              <w:tc>
                <w:tcPr>
                  <w:tcW w:w="163" w:type="pct"/>
                  <w:tcBorders>
                    <w:tl2br w:val="nil"/>
                    <w:tr2bl w:val="nil"/>
                  </w:tcBorders>
                  <w:noWrap w:val="0"/>
                  <w:vAlign w:val="center"/>
                </w:tcPr>
                <w:p w14:paraId="33BE15D1">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1</w:t>
                  </w:r>
                </w:p>
              </w:tc>
              <w:tc>
                <w:tcPr>
                  <w:tcW w:w="198" w:type="pct"/>
                  <w:tcBorders>
                    <w:tl2br w:val="nil"/>
                    <w:tr2bl w:val="nil"/>
                  </w:tcBorders>
                  <w:noWrap w:val="0"/>
                  <w:vAlign w:val="center"/>
                </w:tcPr>
                <w:p w14:paraId="32335E3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38</w:t>
                  </w:r>
                </w:p>
              </w:tc>
              <w:tc>
                <w:tcPr>
                  <w:tcW w:w="160" w:type="pct"/>
                  <w:tcBorders>
                    <w:tl2br w:val="nil"/>
                    <w:tr2bl w:val="nil"/>
                  </w:tcBorders>
                  <w:noWrap w:val="0"/>
                  <w:vAlign w:val="center"/>
                </w:tcPr>
                <w:p w14:paraId="4848A1F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32</w:t>
                  </w:r>
                </w:p>
              </w:tc>
              <w:tc>
                <w:tcPr>
                  <w:tcW w:w="198" w:type="pct"/>
                  <w:tcBorders>
                    <w:tl2br w:val="nil"/>
                    <w:tr2bl w:val="nil"/>
                  </w:tcBorders>
                  <w:noWrap w:val="0"/>
                  <w:vAlign w:val="center"/>
                </w:tcPr>
                <w:p w14:paraId="6407DEF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7</w:t>
                  </w:r>
                </w:p>
              </w:tc>
              <w:tc>
                <w:tcPr>
                  <w:tcW w:w="173" w:type="pct"/>
                  <w:tcBorders>
                    <w:tl2br w:val="nil"/>
                    <w:tr2bl w:val="nil"/>
                  </w:tcBorders>
                  <w:noWrap w:val="0"/>
                  <w:vAlign w:val="center"/>
                </w:tcPr>
                <w:p w14:paraId="5AA2417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w:t>
                  </w:r>
                </w:p>
              </w:tc>
              <w:tc>
                <w:tcPr>
                  <w:tcW w:w="208" w:type="pct"/>
                  <w:tcBorders>
                    <w:tl2br w:val="nil"/>
                    <w:tr2bl w:val="nil"/>
                  </w:tcBorders>
                  <w:noWrap w:val="0"/>
                  <w:vAlign w:val="center"/>
                </w:tcPr>
                <w:p w14:paraId="3AE97DE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42.9</w:t>
                  </w:r>
                </w:p>
              </w:tc>
              <w:tc>
                <w:tcPr>
                  <w:tcW w:w="218" w:type="pct"/>
                  <w:tcBorders>
                    <w:tl2br w:val="nil"/>
                    <w:tr2bl w:val="nil"/>
                  </w:tcBorders>
                  <w:noWrap w:val="0"/>
                  <w:vAlign w:val="center"/>
                </w:tcPr>
                <w:p w14:paraId="72A7FE6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42.9</w:t>
                  </w:r>
                </w:p>
              </w:tc>
              <w:tc>
                <w:tcPr>
                  <w:tcW w:w="218" w:type="pct"/>
                  <w:tcBorders>
                    <w:tl2br w:val="nil"/>
                    <w:tr2bl w:val="nil"/>
                  </w:tcBorders>
                  <w:noWrap w:val="0"/>
                  <w:vAlign w:val="center"/>
                </w:tcPr>
                <w:p w14:paraId="51F12C9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43.9</w:t>
                  </w:r>
                </w:p>
              </w:tc>
              <w:tc>
                <w:tcPr>
                  <w:tcW w:w="225" w:type="pct"/>
                  <w:tcBorders>
                    <w:tl2br w:val="nil"/>
                    <w:tr2bl w:val="nil"/>
                  </w:tcBorders>
                  <w:noWrap w:val="0"/>
                  <w:vAlign w:val="center"/>
                </w:tcPr>
                <w:p w14:paraId="0494385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46.8</w:t>
                  </w:r>
                </w:p>
              </w:tc>
              <w:tc>
                <w:tcPr>
                  <w:tcW w:w="160" w:type="pct"/>
                  <w:vMerge w:val="continue"/>
                  <w:tcBorders>
                    <w:tl2br w:val="nil"/>
                    <w:tr2bl w:val="nil"/>
                  </w:tcBorders>
                  <w:noWrap w:val="0"/>
                  <w:vAlign w:val="center"/>
                </w:tcPr>
                <w:p w14:paraId="713655D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123A9E7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7EE14A91">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12002892">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3E5546F9">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0FE63C30">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5C3FB5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3247277E">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5</w:t>
                  </w:r>
                </w:p>
              </w:tc>
              <w:tc>
                <w:tcPr>
                  <w:tcW w:w="160" w:type="pct"/>
                  <w:vMerge w:val="continue"/>
                  <w:tcBorders>
                    <w:tl2br w:val="nil"/>
                    <w:tr2bl w:val="nil"/>
                  </w:tcBorders>
                  <w:noWrap w:val="0"/>
                  <w:vAlign w:val="center"/>
                </w:tcPr>
                <w:p w14:paraId="4D42441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79" w:type="pct"/>
                  <w:vMerge w:val="continue"/>
                  <w:tcBorders>
                    <w:tl2br w:val="nil"/>
                    <w:tr2bl w:val="nil"/>
                  </w:tcBorders>
                  <w:noWrap w:val="0"/>
                  <w:vAlign w:val="center"/>
                </w:tcPr>
                <w:p w14:paraId="54710059">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452" w:type="pct"/>
                  <w:tcBorders>
                    <w:tl2br w:val="nil"/>
                    <w:tr2bl w:val="nil"/>
                  </w:tcBorders>
                  <w:noWrap w:val="0"/>
                  <w:vAlign w:val="top"/>
                </w:tcPr>
                <w:p w14:paraId="2372CC43">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床围带机</w:t>
                  </w:r>
                </w:p>
                <w:p w14:paraId="0B4F268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（1台）</w:t>
                  </w:r>
                </w:p>
              </w:tc>
              <w:tc>
                <w:tcPr>
                  <w:tcW w:w="273" w:type="pct"/>
                  <w:tcBorders>
                    <w:tl2br w:val="nil"/>
                    <w:tr2bl w:val="nil"/>
                  </w:tcBorders>
                  <w:noWrap w:val="0"/>
                  <w:vAlign w:val="center"/>
                </w:tcPr>
                <w:p w14:paraId="244C3ABC">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75</w:t>
                  </w:r>
                </w:p>
              </w:tc>
              <w:tc>
                <w:tcPr>
                  <w:tcW w:w="217" w:type="pct"/>
                  <w:vMerge w:val="continue"/>
                  <w:tcBorders>
                    <w:tl2br w:val="nil"/>
                    <w:tr2bl w:val="nil"/>
                  </w:tcBorders>
                  <w:noWrap w:val="0"/>
                  <w:vAlign w:val="center"/>
                </w:tcPr>
                <w:p w14:paraId="45F7E266">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47D371D3">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12</w:t>
                  </w:r>
                </w:p>
              </w:tc>
              <w:tc>
                <w:tcPr>
                  <w:tcW w:w="160" w:type="pct"/>
                  <w:tcBorders>
                    <w:tl2br w:val="nil"/>
                    <w:tr2bl w:val="nil"/>
                  </w:tcBorders>
                  <w:noWrap w:val="0"/>
                  <w:vAlign w:val="center"/>
                </w:tcPr>
                <w:p w14:paraId="5917A385">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32</w:t>
                  </w:r>
                </w:p>
              </w:tc>
              <w:tc>
                <w:tcPr>
                  <w:tcW w:w="163" w:type="pct"/>
                  <w:tcBorders>
                    <w:tl2br w:val="nil"/>
                    <w:tr2bl w:val="nil"/>
                  </w:tcBorders>
                  <w:noWrap w:val="0"/>
                  <w:vAlign w:val="center"/>
                </w:tcPr>
                <w:p w14:paraId="64DCA98B">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1</w:t>
                  </w:r>
                </w:p>
              </w:tc>
              <w:tc>
                <w:tcPr>
                  <w:tcW w:w="198" w:type="pct"/>
                  <w:tcBorders>
                    <w:tl2br w:val="nil"/>
                    <w:tr2bl w:val="nil"/>
                  </w:tcBorders>
                  <w:noWrap w:val="0"/>
                  <w:vAlign w:val="center"/>
                </w:tcPr>
                <w:p w14:paraId="1219904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33</w:t>
                  </w:r>
                </w:p>
              </w:tc>
              <w:tc>
                <w:tcPr>
                  <w:tcW w:w="160" w:type="pct"/>
                  <w:tcBorders>
                    <w:tl2br w:val="nil"/>
                    <w:tr2bl w:val="nil"/>
                  </w:tcBorders>
                  <w:noWrap w:val="0"/>
                  <w:vAlign w:val="center"/>
                </w:tcPr>
                <w:p w14:paraId="3411AFD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32</w:t>
                  </w:r>
                </w:p>
              </w:tc>
              <w:tc>
                <w:tcPr>
                  <w:tcW w:w="198" w:type="pct"/>
                  <w:tcBorders>
                    <w:tl2br w:val="nil"/>
                    <w:tr2bl w:val="nil"/>
                  </w:tcBorders>
                  <w:noWrap w:val="0"/>
                  <w:vAlign w:val="center"/>
                </w:tcPr>
                <w:p w14:paraId="063921F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12</w:t>
                  </w:r>
                </w:p>
              </w:tc>
              <w:tc>
                <w:tcPr>
                  <w:tcW w:w="173" w:type="pct"/>
                  <w:tcBorders>
                    <w:tl2br w:val="nil"/>
                    <w:tr2bl w:val="nil"/>
                  </w:tcBorders>
                  <w:noWrap w:val="0"/>
                  <w:vAlign w:val="center"/>
                </w:tcPr>
                <w:p w14:paraId="3F1CE46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w:t>
                  </w:r>
                </w:p>
              </w:tc>
              <w:tc>
                <w:tcPr>
                  <w:tcW w:w="208" w:type="pct"/>
                  <w:tcBorders>
                    <w:tl2br w:val="nil"/>
                    <w:tr2bl w:val="nil"/>
                  </w:tcBorders>
                  <w:noWrap w:val="0"/>
                  <w:vAlign w:val="center"/>
                </w:tcPr>
                <w:p w14:paraId="07CF78D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42.9</w:t>
                  </w:r>
                </w:p>
              </w:tc>
              <w:tc>
                <w:tcPr>
                  <w:tcW w:w="218" w:type="pct"/>
                  <w:tcBorders>
                    <w:tl2br w:val="nil"/>
                    <w:tr2bl w:val="nil"/>
                  </w:tcBorders>
                  <w:noWrap w:val="0"/>
                  <w:vAlign w:val="center"/>
                </w:tcPr>
                <w:p w14:paraId="280ED5E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42.9</w:t>
                  </w:r>
                </w:p>
              </w:tc>
              <w:tc>
                <w:tcPr>
                  <w:tcW w:w="218" w:type="pct"/>
                  <w:tcBorders>
                    <w:tl2br w:val="nil"/>
                    <w:tr2bl w:val="nil"/>
                  </w:tcBorders>
                  <w:noWrap w:val="0"/>
                  <w:vAlign w:val="center"/>
                </w:tcPr>
                <w:p w14:paraId="60B4110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43.3</w:t>
                  </w:r>
                </w:p>
              </w:tc>
              <w:tc>
                <w:tcPr>
                  <w:tcW w:w="225" w:type="pct"/>
                  <w:tcBorders>
                    <w:tl2br w:val="nil"/>
                    <w:tr2bl w:val="nil"/>
                  </w:tcBorders>
                  <w:noWrap w:val="0"/>
                  <w:vAlign w:val="center"/>
                </w:tcPr>
                <w:p w14:paraId="3A01739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46.8</w:t>
                  </w:r>
                </w:p>
              </w:tc>
              <w:tc>
                <w:tcPr>
                  <w:tcW w:w="160" w:type="pct"/>
                  <w:vMerge w:val="continue"/>
                  <w:tcBorders>
                    <w:tl2br w:val="nil"/>
                    <w:tr2bl w:val="nil"/>
                  </w:tcBorders>
                  <w:noWrap w:val="0"/>
                  <w:vAlign w:val="center"/>
                </w:tcPr>
                <w:p w14:paraId="129BBEB9">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619E3EE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46D0A70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071078E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6C167C3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3F74AA3D">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6F541E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3F3046F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6</w:t>
                  </w:r>
                </w:p>
              </w:tc>
              <w:tc>
                <w:tcPr>
                  <w:tcW w:w="160" w:type="pct"/>
                  <w:vMerge w:val="continue"/>
                  <w:tcBorders>
                    <w:tl2br w:val="nil"/>
                    <w:tr2bl w:val="nil"/>
                  </w:tcBorders>
                  <w:noWrap w:val="0"/>
                  <w:vAlign w:val="center"/>
                </w:tcPr>
                <w:p w14:paraId="06F553D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79" w:type="pct"/>
                  <w:vMerge w:val="continue"/>
                  <w:tcBorders>
                    <w:tl2br w:val="nil"/>
                    <w:tr2bl w:val="nil"/>
                  </w:tcBorders>
                  <w:noWrap w:val="0"/>
                  <w:vAlign w:val="center"/>
                </w:tcPr>
                <w:p w14:paraId="54CCC05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452" w:type="pct"/>
                  <w:tcBorders>
                    <w:tl2br w:val="nil"/>
                    <w:tr2bl w:val="nil"/>
                  </w:tcBorders>
                  <w:noWrap w:val="0"/>
                  <w:vAlign w:val="top"/>
                </w:tcPr>
                <w:p w14:paraId="67B3E339">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针车</w:t>
                  </w:r>
                </w:p>
                <w:p w14:paraId="67A6584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（3台）</w:t>
                  </w:r>
                </w:p>
              </w:tc>
              <w:tc>
                <w:tcPr>
                  <w:tcW w:w="273" w:type="pct"/>
                  <w:tcBorders>
                    <w:tl2br w:val="nil"/>
                    <w:tr2bl w:val="nil"/>
                  </w:tcBorders>
                  <w:noWrap w:val="0"/>
                  <w:vAlign w:val="center"/>
                </w:tcPr>
                <w:p w14:paraId="4CE67D62">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90</w:t>
                  </w:r>
                </w:p>
              </w:tc>
              <w:tc>
                <w:tcPr>
                  <w:tcW w:w="217" w:type="pct"/>
                  <w:vMerge w:val="continue"/>
                  <w:tcBorders>
                    <w:tl2br w:val="nil"/>
                    <w:tr2bl w:val="nil"/>
                  </w:tcBorders>
                  <w:noWrap w:val="0"/>
                  <w:vAlign w:val="center"/>
                </w:tcPr>
                <w:p w14:paraId="774FFD7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3DB3AA3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70</w:t>
                  </w:r>
                </w:p>
              </w:tc>
              <w:tc>
                <w:tcPr>
                  <w:tcW w:w="160" w:type="pct"/>
                  <w:tcBorders>
                    <w:tl2br w:val="nil"/>
                    <w:tr2bl w:val="nil"/>
                  </w:tcBorders>
                  <w:noWrap w:val="0"/>
                  <w:vAlign w:val="center"/>
                </w:tcPr>
                <w:p w14:paraId="467BA79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31</w:t>
                  </w:r>
                </w:p>
              </w:tc>
              <w:tc>
                <w:tcPr>
                  <w:tcW w:w="163" w:type="pct"/>
                  <w:tcBorders>
                    <w:tl2br w:val="nil"/>
                    <w:tr2bl w:val="nil"/>
                  </w:tcBorders>
                  <w:noWrap w:val="0"/>
                  <w:vAlign w:val="center"/>
                </w:tcPr>
                <w:p w14:paraId="0EEF0E8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12</w:t>
                  </w:r>
                </w:p>
              </w:tc>
              <w:tc>
                <w:tcPr>
                  <w:tcW w:w="198" w:type="pct"/>
                  <w:tcBorders>
                    <w:tl2br w:val="nil"/>
                    <w:tr2bl w:val="nil"/>
                  </w:tcBorders>
                  <w:noWrap w:val="0"/>
                  <w:vAlign w:val="center"/>
                </w:tcPr>
                <w:p w14:paraId="2D55B10E">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25</w:t>
                  </w:r>
                </w:p>
              </w:tc>
              <w:tc>
                <w:tcPr>
                  <w:tcW w:w="160" w:type="pct"/>
                  <w:tcBorders>
                    <w:tl2br w:val="nil"/>
                    <w:tr2bl w:val="nil"/>
                  </w:tcBorders>
                  <w:noWrap w:val="0"/>
                  <w:vAlign w:val="center"/>
                </w:tcPr>
                <w:p w14:paraId="7FC038BA">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31</w:t>
                  </w:r>
                </w:p>
              </w:tc>
              <w:tc>
                <w:tcPr>
                  <w:tcW w:w="198" w:type="pct"/>
                  <w:tcBorders>
                    <w:tl2br w:val="nil"/>
                    <w:tr2bl w:val="nil"/>
                  </w:tcBorders>
                  <w:noWrap w:val="0"/>
                  <w:vAlign w:val="center"/>
                </w:tcPr>
                <w:p w14:paraId="5500D780">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70</w:t>
                  </w:r>
                </w:p>
              </w:tc>
              <w:tc>
                <w:tcPr>
                  <w:tcW w:w="173" w:type="pct"/>
                  <w:tcBorders>
                    <w:tl2br w:val="nil"/>
                    <w:tr2bl w:val="nil"/>
                  </w:tcBorders>
                  <w:noWrap w:val="0"/>
                  <w:vAlign w:val="center"/>
                </w:tcPr>
                <w:p w14:paraId="737BAE73">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w:t>
                  </w:r>
                </w:p>
              </w:tc>
              <w:tc>
                <w:tcPr>
                  <w:tcW w:w="208" w:type="pct"/>
                  <w:tcBorders>
                    <w:tl2br w:val="nil"/>
                    <w:tr2bl w:val="nil"/>
                  </w:tcBorders>
                  <w:noWrap w:val="0"/>
                  <w:vAlign w:val="center"/>
                </w:tcPr>
                <w:p w14:paraId="31C923ED">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58.0</w:t>
                  </w:r>
                </w:p>
              </w:tc>
              <w:tc>
                <w:tcPr>
                  <w:tcW w:w="218" w:type="pct"/>
                  <w:tcBorders>
                    <w:tl2br w:val="nil"/>
                    <w:tr2bl w:val="nil"/>
                  </w:tcBorders>
                  <w:noWrap w:val="0"/>
                  <w:vAlign w:val="center"/>
                </w:tcPr>
                <w:p w14:paraId="67983DB3">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57.9</w:t>
                  </w:r>
                </w:p>
              </w:tc>
              <w:tc>
                <w:tcPr>
                  <w:tcW w:w="218" w:type="pct"/>
                  <w:tcBorders>
                    <w:tl2br w:val="nil"/>
                    <w:tr2bl w:val="nil"/>
                  </w:tcBorders>
                  <w:noWrap w:val="0"/>
                  <w:vAlign w:val="center"/>
                </w:tcPr>
                <w:p w14:paraId="4204006A">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57.9</w:t>
                  </w:r>
                </w:p>
              </w:tc>
              <w:tc>
                <w:tcPr>
                  <w:tcW w:w="225" w:type="pct"/>
                  <w:tcBorders>
                    <w:tl2br w:val="nil"/>
                    <w:tr2bl w:val="nil"/>
                  </w:tcBorders>
                  <w:noWrap w:val="0"/>
                  <w:vAlign w:val="center"/>
                </w:tcPr>
                <w:p w14:paraId="1A89EC2E">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60.5</w:t>
                  </w:r>
                </w:p>
              </w:tc>
              <w:tc>
                <w:tcPr>
                  <w:tcW w:w="160" w:type="pct"/>
                  <w:vMerge w:val="continue"/>
                  <w:tcBorders>
                    <w:tl2br w:val="nil"/>
                    <w:tr2bl w:val="nil"/>
                  </w:tcBorders>
                  <w:noWrap w:val="0"/>
                  <w:vAlign w:val="center"/>
                </w:tcPr>
                <w:p w14:paraId="11017EE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559425A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6E3FD84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6169256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025E0303">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2D376DAB">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41DC8F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noWrap w:val="0"/>
                  <w:vAlign w:val="center"/>
                </w:tcPr>
                <w:p w14:paraId="10195831">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7</w:t>
                  </w:r>
                </w:p>
              </w:tc>
              <w:tc>
                <w:tcPr>
                  <w:tcW w:w="160" w:type="pct"/>
                  <w:vMerge w:val="continue"/>
                  <w:tcBorders>
                    <w:tl2br w:val="nil"/>
                    <w:tr2bl w:val="nil"/>
                  </w:tcBorders>
                  <w:noWrap w:val="0"/>
                  <w:vAlign w:val="center"/>
                </w:tcPr>
                <w:p w14:paraId="182CE60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179" w:type="pct"/>
                  <w:tcBorders>
                    <w:tl2br w:val="nil"/>
                    <w:tr2bl w:val="nil"/>
                  </w:tcBorders>
                  <w:shd w:val="clear" w:color="auto" w:fill="auto"/>
                  <w:noWrap w:val="0"/>
                  <w:vAlign w:val="center"/>
                </w:tcPr>
                <w:p w14:paraId="7279B59B">
                  <w:pPr>
                    <w:widowControl/>
                    <w:jc w:val="center"/>
                    <w:textAlignment w:val="center"/>
                    <w:rPr>
                      <w:rFonts w:hint="default" w:ascii="Times New Roman" w:hAnsi="Times New Roman" w:eastAsia="宋体" w:cs="Times New Roman"/>
                      <w:snapToGrid w:val="0"/>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2楼</w:t>
                  </w:r>
                </w:p>
              </w:tc>
              <w:tc>
                <w:tcPr>
                  <w:tcW w:w="452" w:type="pct"/>
                  <w:tcBorders>
                    <w:tl2br w:val="nil"/>
                    <w:tr2bl w:val="nil"/>
                  </w:tcBorders>
                  <w:noWrap w:val="0"/>
                  <w:vAlign w:val="top"/>
                </w:tcPr>
                <w:p w14:paraId="5C1F062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高频机</w:t>
                  </w:r>
                </w:p>
                <w:p w14:paraId="72AABD74">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（9台）</w:t>
                  </w:r>
                </w:p>
              </w:tc>
              <w:tc>
                <w:tcPr>
                  <w:tcW w:w="273" w:type="pct"/>
                  <w:tcBorders>
                    <w:tl2br w:val="nil"/>
                    <w:tr2bl w:val="nil"/>
                  </w:tcBorders>
                  <w:noWrap w:val="0"/>
                  <w:vAlign w:val="center"/>
                </w:tcPr>
                <w:p w14:paraId="0B31E36F">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85</w:t>
                  </w:r>
                </w:p>
              </w:tc>
              <w:tc>
                <w:tcPr>
                  <w:tcW w:w="217" w:type="pct"/>
                  <w:vMerge w:val="continue"/>
                  <w:tcBorders>
                    <w:tl2br w:val="nil"/>
                    <w:tr2bl w:val="nil"/>
                  </w:tcBorders>
                  <w:noWrap w:val="0"/>
                  <w:vAlign w:val="center"/>
                </w:tcPr>
                <w:p w14:paraId="49084B3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54A9061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23</w:t>
                  </w:r>
                </w:p>
              </w:tc>
              <w:tc>
                <w:tcPr>
                  <w:tcW w:w="160" w:type="pct"/>
                  <w:tcBorders>
                    <w:tl2br w:val="nil"/>
                    <w:tr2bl w:val="nil"/>
                  </w:tcBorders>
                  <w:noWrap w:val="0"/>
                  <w:vAlign w:val="center"/>
                </w:tcPr>
                <w:p w14:paraId="566637E7">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18</w:t>
                  </w:r>
                </w:p>
              </w:tc>
              <w:tc>
                <w:tcPr>
                  <w:tcW w:w="163" w:type="pct"/>
                  <w:tcBorders>
                    <w:tl2br w:val="nil"/>
                    <w:tr2bl w:val="nil"/>
                  </w:tcBorders>
                  <w:noWrap w:val="0"/>
                  <w:vAlign w:val="center"/>
                </w:tcPr>
                <w:p w14:paraId="30B3E09F">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8</w:t>
                  </w:r>
                </w:p>
              </w:tc>
              <w:tc>
                <w:tcPr>
                  <w:tcW w:w="198" w:type="pct"/>
                  <w:tcBorders>
                    <w:tl2br w:val="nil"/>
                    <w:tr2bl w:val="nil"/>
                  </w:tcBorders>
                  <w:noWrap w:val="0"/>
                  <w:vAlign w:val="center"/>
                </w:tcPr>
                <w:p w14:paraId="42459C1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22</w:t>
                  </w:r>
                </w:p>
              </w:tc>
              <w:tc>
                <w:tcPr>
                  <w:tcW w:w="160" w:type="pct"/>
                  <w:tcBorders>
                    <w:tl2br w:val="nil"/>
                    <w:tr2bl w:val="nil"/>
                  </w:tcBorders>
                  <w:noWrap w:val="0"/>
                  <w:vAlign w:val="center"/>
                </w:tcPr>
                <w:p w14:paraId="1E0BB5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18</w:t>
                  </w:r>
                </w:p>
              </w:tc>
              <w:tc>
                <w:tcPr>
                  <w:tcW w:w="198" w:type="pct"/>
                  <w:tcBorders>
                    <w:tl2br w:val="nil"/>
                    <w:tr2bl w:val="nil"/>
                  </w:tcBorders>
                  <w:noWrap w:val="0"/>
                  <w:vAlign w:val="center"/>
                </w:tcPr>
                <w:p w14:paraId="0C2CE8F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23</w:t>
                  </w:r>
                </w:p>
              </w:tc>
              <w:tc>
                <w:tcPr>
                  <w:tcW w:w="173" w:type="pct"/>
                  <w:tcBorders>
                    <w:tl2br w:val="nil"/>
                    <w:tr2bl w:val="nil"/>
                  </w:tcBorders>
                  <w:noWrap w:val="0"/>
                  <w:vAlign w:val="center"/>
                </w:tcPr>
                <w:p w14:paraId="156D932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17</w:t>
                  </w:r>
                </w:p>
              </w:tc>
              <w:tc>
                <w:tcPr>
                  <w:tcW w:w="208" w:type="pct"/>
                  <w:tcBorders>
                    <w:tl2br w:val="nil"/>
                    <w:tr2bl w:val="nil"/>
                  </w:tcBorders>
                  <w:noWrap w:val="0"/>
                  <w:vAlign w:val="center"/>
                </w:tcPr>
                <w:p w14:paraId="7F4783A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18" w:type="pct"/>
                  <w:tcBorders>
                    <w:tl2br w:val="nil"/>
                    <w:tr2bl w:val="nil"/>
                  </w:tcBorders>
                  <w:noWrap w:val="0"/>
                  <w:vAlign w:val="center"/>
                </w:tcPr>
                <w:p w14:paraId="061BBF9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18" w:type="pct"/>
                  <w:tcBorders>
                    <w:tl2br w:val="nil"/>
                    <w:tr2bl w:val="nil"/>
                  </w:tcBorders>
                  <w:noWrap w:val="0"/>
                  <w:vAlign w:val="center"/>
                </w:tcPr>
                <w:p w14:paraId="375F71E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43.0</w:t>
                  </w:r>
                </w:p>
              </w:tc>
              <w:tc>
                <w:tcPr>
                  <w:tcW w:w="225" w:type="pct"/>
                  <w:tcBorders>
                    <w:tl2br w:val="nil"/>
                    <w:tr2bl w:val="nil"/>
                  </w:tcBorders>
                  <w:noWrap w:val="0"/>
                  <w:vAlign w:val="center"/>
                </w:tcPr>
                <w:p w14:paraId="10B804F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43.1</w:t>
                  </w:r>
                </w:p>
              </w:tc>
              <w:tc>
                <w:tcPr>
                  <w:tcW w:w="160" w:type="pct"/>
                  <w:vMerge w:val="continue"/>
                  <w:tcBorders>
                    <w:tl2br w:val="nil"/>
                    <w:tr2bl w:val="nil"/>
                  </w:tcBorders>
                  <w:noWrap w:val="0"/>
                  <w:vAlign w:val="center"/>
                </w:tcPr>
                <w:p w14:paraId="09FA8AB1">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6B0D48A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4F135A0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79A9DAB1">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7A1F836D">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76065E72">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44124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shd w:val="clear" w:color="auto" w:fill="auto"/>
                  <w:noWrap w:val="0"/>
                  <w:vAlign w:val="center"/>
                </w:tcPr>
                <w:p w14:paraId="26F5EB1F">
                  <w:pPr>
                    <w:widowControl/>
                    <w:jc w:val="center"/>
                    <w:textAlignment w:val="center"/>
                    <w:rPr>
                      <w:rFonts w:hint="default" w:ascii="Times New Roman" w:hAnsi="Times New Roman" w:eastAsia="宋体" w:cs="Times New Roman"/>
                      <w:snapToGrid w:val="0"/>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8</w:t>
                  </w:r>
                </w:p>
              </w:tc>
              <w:tc>
                <w:tcPr>
                  <w:tcW w:w="160" w:type="pct"/>
                  <w:vMerge w:val="continue"/>
                  <w:tcBorders>
                    <w:tl2br w:val="nil"/>
                    <w:tr2bl w:val="nil"/>
                  </w:tcBorders>
                  <w:noWrap w:val="0"/>
                  <w:vAlign w:val="center"/>
                </w:tcPr>
                <w:p w14:paraId="041E9CA1">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179" w:type="pct"/>
                  <w:tcBorders>
                    <w:tl2br w:val="nil"/>
                    <w:tr2bl w:val="nil"/>
                  </w:tcBorders>
                  <w:shd w:val="clear" w:color="auto" w:fill="auto"/>
                  <w:noWrap w:val="0"/>
                  <w:vAlign w:val="center"/>
                </w:tcPr>
                <w:p w14:paraId="0369CF08">
                  <w:pPr>
                    <w:widowControl/>
                    <w:jc w:val="center"/>
                    <w:textAlignment w:val="center"/>
                    <w:rPr>
                      <w:rFonts w:hint="default" w:ascii="Times New Roman" w:hAnsi="Times New Roman" w:eastAsia="宋体" w:cs="Times New Roman"/>
                      <w:snapToGrid w:val="0"/>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3楼</w:t>
                  </w:r>
                </w:p>
              </w:tc>
              <w:tc>
                <w:tcPr>
                  <w:tcW w:w="452" w:type="pct"/>
                  <w:tcBorders>
                    <w:tl2br w:val="nil"/>
                    <w:tr2bl w:val="nil"/>
                  </w:tcBorders>
                  <w:noWrap w:val="0"/>
                  <w:vAlign w:val="top"/>
                </w:tcPr>
                <w:p w14:paraId="672CC481">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空压机</w:t>
                  </w:r>
                </w:p>
                <w:p w14:paraId="3D438BDD">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（2台）</w:t>
                  </w:r>
                </w:p>
              </w:tc>
              <w:tc>
                <w:tcPr>
                  <w:tcW w:w="273" w:type="pct"/>
                  <w:tcBorders>
                    <w:tl2br w:val="nil"/>
                    <w:tr2bl w:val="nil"/>
                  </w:tcBorders>
                  <w:noWrap w:val="0"/>
                  <w:vAlign w:val="center"/>
                </w:tcPr>
                <w:p w14:paraId="773364BE">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80</w:t>
                  </w:r>
                </w:p>
              </w:tc>
              <w:tc>
                <w:tcPr>
                  <w:tcW w:w="217" w:type="pct"/>
                  <w:vMerge w:val="continue"/>
                  <w:tcBorders>
                    <w:tl2br w:val="nil"/>
                    <w:tr2bl w:val="nil"/>
                  </w:tcBorders>
                  <w:noWrap w:val="0"/>
                  <w:vAlign w:val="center"/>
                </w:tcPr>
                <w:p w14:paraId="29CFB2FF">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noWrap w:val="0"/>
                  <w:vAlign w:val="center"/>
                </w:tcPr>
                <w:p w14:paraId="4EC481C8">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23</w:t>
                  </w:r>
                </w:p>
              </w:tc>
              <w:tc>
                <w:tcPr>
                  <w:tcW w:w="160" w:type="pct"/>
                  <w:tcBorders>
                    <w:tl2br w:val="nil"/>
                    <w:tr2bl w:val="nil"/>
                  </w:tcBorders>
                  <w:noWrap w:val="0"/>
                  <w:vAlign w:val="center"/>
                </w:tcPr>
                <w:p w14:paraId="47055156">
                  <w:pPr>
                    <w:widowControl/>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宋体" w:cs="Times New Roman"/>
                      <w:color w:val="000000"/>
                      <w:kern w:val="0"/>
                      <w:sz w:val="20"/>
                      <w:szCs w:val="20"/>
                      <w:highlight w:val="none"/>
                      <w:lang w:val="en-US" w:eastAsia="zh-CN" w:bidi="ar"/>
                    </w:rPr>
                    <w:t>5</w:t>
                  </w:r>
                </w:p>
              </w:tc>
              <w:tc>
                <w:tcPr>
                  <w:tcW w:w="163" w:type="pct"/>
                  <w:tcBorders>
                    <w:tl2br w:val="nil"/>
                    <w:tr2bl w:val="nil"/>
                  </w:tcBorders>
                  <w:noWrap w:val="0"/>
                  <w:vAlign w:val="center"/>
                </w:tcPr>
                <w:p w14:paraId="1AE94F85">
                  <w:pPr>
                    <w:widowControl/>
                    <w:jc w:val="center"/>
                    <w:textAlignment w:val="center"/>
                    <w:rPr>
                      <w:rFonts w:hint="default" w:ascii="Times New Roman" w:hAnsi="Times New Roman" w:eastAsia="宋体" w:cs="Times New Roman"/>
                      <w:color w:val="000000"/>
                      <w:kern w:val="0"/>
                      <w:sz w:val="20"/>
                      <w:szCs w:val="20"/>
                      <w:highlight w:val="none"/>
                      <w:lang w:val="en-US" w:bidi="ar"/>
                    </w:rPr>
                  </w:pPr>
                  <w:r>
                    <w:rPr>
                      <w:rFonts w:hint="default" w:ascii="Times New Roman" w:hAnsi="Times New Roman" w:eastAsia="宋体" w:cs="Times New Roman"/>
                      <w:color w:val="000000"/>
                      <w:kern w:val="0"/>
                      <w:sz w:val="20"/>
                      <w:szCs w:val="20"/>
                      <w:highlight w:val="none"/>
                      <w:lang w:val="en-US" w:eastAsia="zh-CN" w:bidi="ar"/>
                    </w:rPr>
                    <w:t>8</w:t>
                  </w:r>
                </w:p>
              </w:tc>
              <w:tc>
                <w:tcPr>
                  <w:tcW w:w="198" w:type="pct"/>
                  <w:tcBorders>
                    <w:tl2br w:val="nil"/>
                    <w:tr2bl w:val="nil"/>
                  </w:tcBorders>
                  <w:noWrap w:val="0"/>
                  <w:vAlign w:val="center"/>
                </w:tcPr>
                <w:p w14:paraId="4A726F8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22</w:t>
                  </w:r>
                </w:p>
              </w:tc>
              <w:tc>
                <w:tcPr>
                  <w:tcW w:w="160" w:type="pct"/>
                  <w:tcBorders>
                    <w:tl2br w:val="nil"/>
                    <w:tr2bl w:val="nil"/>
                  </w:tcBorders>
                  <w:noWrap w:val="0"/>
                  <w:vAlign w:val="center"/>
                </w:tcPr>
                <w:p w14:paraId="0E645FB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w:t>
                  </w:r>
                </w:p>
              </w:tc>
              <w:tc>
                <w:tcPr>
                  <w:tcW w:w="198" w:type="pct"/>
                  <w:tcBorders>
                    <w:tl2br w:val="nil"/>
                    <w:tr2bl w:val="nil"/>
                  </w:tcBorders>
                  <w:noWrap w:val="0"/>
                  <w:vAlign w:val="center"/>
                </w:tcPr>
                <w:p w14:paraId="0D9C9E1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23</w:t>
                  </w:r>
                </w:p>
              </w:tc>
              <w:tc>
                <w:tcPr>
                  <w:tcW w:w="173" w:type="pct"/>
                  <w:tcBorders>
                    <w:tl2br w:val="nil"/>
                    <w:tr2bl w:val="nil"/>
                  </w:tcBorders>
                  <w:noWrap w:val="0"/>
                  <w:vAlign w:val="center"/>
                </w:tcPr>
                <w:p w14:paraId="43F3979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30</w:t>
                  </w:r>
                </w:p>
              </w:tc>
              <w:tc>
                <w:tcPr>
                  <w:tcW w:w="208" w:type="pct"/>
                  <w:tcBorders>
                    <w:tl2br w:val="nil"/>
                    <w:tr2bl w:val="nil"/>
                  </w:tcBorders>
                  <w:noWrap w:val="0"/>
                  <w:vAlign w:val="center"/>
                </w:tcPr>
                <w:p w14:paraId="13C6F6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48.0</w:t>
                  </w:r>
                </w:p>
              </w:tc>
              <w:tc>
                <w:tcPr>
                  <w:tcW w:w="218" w:type="pct"/>
                  <w:tcBorders>
                    <w:tl2br w:val="nil"/>
                    <w:tr2bl w:val="nil"/>
                  </w:tcBorders>
                  <w:noWrap w:val="0"/>
                  <w:vAlign w:val="center"/>
                </w:tcPr>
                <w:p w14:paraId="45E5BDD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49.7</w:t>
                  </w:r>
                </w:p>
              </w:tc>
              <w:tc>
                <w:tcPr>
                  <w:tcW w:w="218" w:type="pct"/>
                  <w:tcBorders>
                    <w:tl2br w:val="nil"/>
                    <w:tr2bl w:val="nil"/>
                  </w:tcBorders>
                  <w:noWrap w:val="0"/>
                  <w:vAlign w:val="center"/>
                </w:tcPr>
                <w:p w14:paraId="0B9CDAB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48.0</w:t>
                  </w:r>
                </w:p>
              </w:tc>
              <w:tc>
                <w:tcPr>
                  <w:tcW w:w="225" w:type="pct"/>
                  <w:tcBorders>
                    <w:tl2br w:val="nil"/>
                    <w:tr2bl w:val="nil"/>
                  </w:tcBorders>
                  <w:noWrap w:val="0"/>
                  <w:vAlign w:val="center"/>
                </w:tcPr>
                <w:p w14:paraId="7E3383E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47.9</w:t>
                  </w:r>
                </w:p>
              </w:tc>
              <w:tc>
                <w:tcPr>
                  <w:tcW w:w="160" w:type="pct"/>
                  <w:vMerge w:val="continue"/>
                  <w:tcBorders>
                    <w:tl2br w:val="nil"/>
                    <w:tr2bl w:val="nil"/>
                  </w:tcBorders>
                  <w:noWrap w:val="0"/>
                  <w:vAlign w:val="center"/>
                </w:tcPr>
                <w:p w14:paraId="0C4EFDE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17B1C56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35A8A48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170BC13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4EBD4474">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3B3E14ED">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011845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shd w:val="clear" w:color="auto" w:fill="auto"/>
                  <w:noWrap w:val="0"/>
                  <w:vAlign w:val="center"/>
                </w:tcPr>
                <w:p w14:paraId="2556AE8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39" w:type="pct"/>
                  <w:gridSpan w:val="2"/>
                  <w:vMerge w:val="restart"/>
                  <w:tcBorders>
                    <w:tl2br w:val="nil"/>
                    <w:tr2bl w:val="nil"/>
                  </w:tcBorders>
                  <w:noWrap w:val="0"/>
                  <w:vAlign w:val="center"/>
                </w:tcPr>
                <w:p w14:paraId="7F75907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58号厂房</w:t>
                  </w:r>
                </w:p>
              </w:tc>
              <w:tc>
                <w:tcPr>
                  <w:tcW w:w="452" w:type="pct"/>
                  <w:tcBorders>
                    <w:tl2br w:val="nil"/>
                    <w:tr2bl w:val="nil"/>
                  </w:tcBorders>
                  <w:noWrap w:val="0"/>
                  <w:vAlign w:val="top"/>
                </w:tcPr>
                <w:p w14:paraId="7322F42C">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高频机</w:t>
                  </w:r>
                </w:p>
                <w:p w14:paraId="0BDDC26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（8台）</w:t>
                  </w:r>
                </w:p>
              </w:tc>
              <w:tc>
                <w:tcPr>
                  <w:tcW w:w="273" w:type="pct"/>
                  <w:tcBorders>
                    <w:tl2br w:val="nil"/>
                    <w:tr2bl w:val="nil"/>
                  </w:tcBorders>
                  <w:noWrap w:val="0"/>
                  <w:vAlign w:val="center"/>
                </w:tcPr>
                <w:p w14:paraId="3423120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84</w:t>
                  </w:r>
                </w:p>
              </w:tc>
              <w:tc>
                <w:tcPr>
                  <w:tcW w:w="217" w:type="pct"/>
                  <w:vMerge w:val="continue"/>
                  <w:tcBorders>
                    <w:tl2br w:val="nil"/>
                    <w:tr2bl w:val="nil"/>
                  </w:tcBorders>
                  <w:noWrap w:val="0"/>
                  <w:vAlign w:val="center"/>
                </w:tcPr>
                <w:p w14:paraId="4575948F">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shd w:val="clear" w:color="auto" w:fill="auto"/>
                  <w:noWrap w:val="0"/>
                  <w:vAlign w:val="center"/>
                </w:tcPr>
                <w:p w14:paraId="29CF2E5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20</w:t>
                  </w:r>
                </w:p>
              </w:tc>
              <w:tc>
                <w:tcPr>
                  <w:tcW w:w="160" w:type="pct"/>
                  <w:tcBorders>
                    <w:tl2br w:val="nil"/>
                    <w:tr2bl w:val="nil"/>
                  </w:tcBorders>
                  <w:shd w:val="clear" w:color="auto" w:fill="auto"/>
                  <w:noWrap w:val="0"/>
                  <w:vAlign w:val="center"/>
                </w:tcPr>
                <w:p w14:paraId="4BD971F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25</w:t>
                  </w:r>
                </w:p>
              </w:tc>
              <w:tc>
                <w:tcPr>
                  <w:tcW w:w="163" w:type="pct"/>
                  <w:tcBorders>
                    <w:tl2br w:val="nil"/>
                    <w:tr2bl w:val="nil"/>
                  </w:tcBorders>
                  <w:shd w:val="clear" w:color="auto" w:fill="auto"/>
                  <w:noWrap w:val="0"/>
                  <w:vAlign w:val="center"/>
                </w:tcPr>
                <w:p w14:paraId="2C0B4CC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w:t>
                  </w:r>
                </w:p>
              </w:tc>
              <w:tc>
                <w:tcPr>
                  <w:tcW w:w="198" w:type="pct"/>
                  <w:tcBorders>
                    <w:tl2br w:val="nil"/>
                    <w:tr2bl w:val="nil"/>
                  </w:tcBorders>
                  <w:shd w:val="clear" w:color="auto" w:fill="auto"/>
                  <w:noWrap w:val="0"/>
                  <w:vAlign w:val="center"/>
                </w:tcPr>
                <w:p w14:paraId="2427435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30</w:t>
                  </w:r>
                </w:p>
              </w:tc>
              <w:tc>
                <w:tcPr>
                  <w:tcW w:w="160" w:type="pct"/>
                  <w:tcBorders>
                    <w:tl2br w:val="nil"/>
                    <w:tr2bl w:val="nil"/>
                  </w:tcBorders>
                  <w:shd w:val="clear" w:color="auto" w:fill="auto"/>
                  <w:noWrap w:val="0"/>
                  <w:vAlign w:val="center"/>
                </w:tcPr>
                <w:p w14:paraId="2A8238E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25</w:t>
                  </w:r>
                </w:p>
              </w:tc>
              <w:tc>
                <w:tcPr>
                  <w:tcW w:w="198" w:type="pct"/>
                  <w:tcBorders>
                    <w:tl2br w:val="nil"/>
                    <w:tr2bl w:val="nil"/>
                  </w:tcBorders>
                  <w:shd w:val="clear" w:color="auto" w:fill="auto"/>
                  <w:noWrap w:val="0"/>
                  <w:vAlign w:val="center"/>
                </w:tcPr>
                <w:p w14:paraId="4F4722D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20</w:t>
                  </w:r>
                </w:p>
              </w:tc>
              <w:tc>
                <w:tcPr>
                  <w:tcW w:w="173" w:type="pct"/>
                  <w:tcBorders>
                    <w:tl2br w:val="nil"/>
                    <w:tr2bl w:val="nil"/>
                  </w:tcBorders>
                  <w:shd w:val="clear" w:color="auto" w:fill="auto"/>
                  <w:noWrap w:val="0"/>
                  <w:vAlign w:val="center"/>
                </w:tcPr>
                <w:p w14:paraId="07B6BDE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10</w:t>
                  </w:r>
                </w:p>
              </w:tc>
              <w:tc>
                <w:tcPr>
                  <w:tcW w:w="208" w:type="pct"/>
                  <w:tcBorders>
                    <w:tl2br w:val="nil"/>
                    <w:tr2bl w:val="nil"/>
                  </w:tcBorders>
                  <w:shd w:val="clear" w:color="auto" w:fill="auto"/>
                  <w:noWrap w:val="0"/>
                  <w:vAlign w:val="center"/>
                </w:tcPr>
                <w:p w14:paraId="22CCEFBA">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51.8</w:t>
                  </w:r>
                </w:p>
              </w:tc>
              <w:tc>
                <w:tcPr>
                  <w:tcW w:w="218" w:type="pct"/>
                  <w:tcBorders>
                    <w:tl2br w:val="nil"/>
                    <w:tr2bl w:val="nil"/>
                  </w:tcBorders>
                  <w:shd w:val="clear" w:color="auto" w:fill="auto"/>
                  <w:noWrap w:val="0"/>
                  <w:vAlign w:val="center"/>
                </w:tcPr>
                <w:p w14:paraId="130A2693">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51.9</w:t>
                  </w:r>
                </w:p>
              </w:tc>
              <w:tc>
                <w:tcPr>
                  <w:tcW w:w="218" w:type="pct"/>
                  <w:tcBorders>
                    <w:tl2br w:val="nil"/>
                    <w:tr2bl w:val="nil"/>
                  </w:tcBorders>
                  <w:shd w:val="clear" w:color="auto" w:fill="auto"/>
                  <w:noWrap w:val="0"/>
                  <w:vAlign w:val="center"/>
                </w:tcPr>
                <w:p w14:paraId="3FD9ACB1">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51.9</w:t>
                  </w:r>
                </w:p>
              </w:tc>
              <w:tc>
                <w:tcPr>
                  <w:tcW w:w="225" w:type="pct"/>
                  <w:tcBorders>
                    <w:tl2br w:val="nil"/>
                    <w:tr2bl w:val="nil"/>
                  </w:tcBorders>
                  <w:shd w:val="clear" w:color="auto" w:fill="auto"/>
                  <w:noWrap w:val="0"/>
                  <w:vAlign w:val="center"/>
                </w:tcPr>
                <w:p w14:paraId="7BDAFECF">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52.3</w:t>
                  </w:r>
                </w:p>
              </w:tc>
              <w:tc>
                <w:tcPr>
                  <w:tcW w:w="160" w:type="pct"/>
                  <w:vMerge w:val="continue"/>
                  <w:tcBorders>
                    <w:tl2br w:val="nil"/>
                    <w:tr2bl w:val="nil"/>
                  </w:tcBorders>
                  <w:noWrap w:val="0"/>
                  <w:vAlign w:val="center"/>
                </w:tcPr>
                <w:p w14:paraId="095CB45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47DB718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restart"/>
                  <w:tcBorders>
                    <w:tl2br w:val="nil"/>
                    <w:tr2bl w:val="nil"/>
                  </w:tcBorders>
                  <w:noWrap w:val="0"/>
                  <w:vAlign w:val="center"/>
                </w:tcPr>
                <w:p w14:paraId="6B1FCF0E">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eastAsia" w:ascii="Times New Roman" w:hAnsi="Times New Roman" w:eastAsia="等线" w:cs="Times New Roman"/>
                      <w:i w:val="0"/>
                      <w:iCs w:val="0"/>
                      <w:snapToGrid w:val="0"/>
                      <w:color w:val="000000"/>
                      <w:kern w:val="0"/>
                      <w:sz w:val="21"/>
                      <w:szCs w:val="21"/>
                      <w:highlight w:val="none"/>
                      <w:u w:val="none"/>
                      <w:lang w:val="en-US" w:eastAsia="zh-CN" w:bidi="ar"/>
                    </w:rPr>
                    <w:t xml:space="preserve">37.6 </w:t>
                  </w:r>
                </w:p>
              </w:tc>
              <w:tc>
                <w:tcPr>
                  <w:tcW w:w="257" w:type="pct"/>
                  <w:vMerge w:val="restart"/>
                  <w:tcBorders>
                    <w:tl2br w:val="nil"/>
                    <w:tr2bl w:val="nil"/>
                  </w:tcBorders>
                  <w:noWrap w:val="0"/>
                  <w:vAlign w:val="center"/>
                </w:tcPr>
                <w:p w14:paraId="2881EB80">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eastAsia" w:ascii="Times New Roman" w:hAnsi="Times New Roman" w:eastAsia="等线" w:cs="Times New Roman"/>
                      <w:i w:val="0"/>
                      <w:iCs w:val="0"/>
                      <w:snapToGrid w:val="0"/>
                      <w:color w:val="000000"/>
                      <w:kern w:val="0"/>
                      <w:sz w:val="21"/>
                      <w:szCs w:val="21"/>
                      <w:highlight w:val="none"/>
                      <w:u w:val="none"/>
                      <w:lang w:val="en-US" w:eastAsia="zh-CN" w:bidi="ar"/>
                    </w:rPr>
                    <w:t xml:space="preserve">37.7 </w:t>
                  </w:r>
                </w:p>
              </w:tc>
              <w:tc>
                <w:tcPr>
                  <w:tcW w:w="257" w:type="pct"/>
                  <w:vMerge w:val="restart"/>
                  <w:tcBorders>
                    <w:tl2br w:val="nil"/>
                    <w:tr2bl w:val="nil"/>
                  </w:tcBorders>
                  <w:noWrap w:val="0"/>
                  <w:vAlign w:val="center"/>
                </w:tcPr>
                <w:p w14:paraId="3C3602B4">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eastAsia" w:ascii="Times New Roman" w:hAnsi="Times New Roman" w:eastAsia="等线" w:cs="Times New Roman"/>
                      <w:i w:val="0"/>
                      <w:iCs w:val="0"/>
                      <w:snapToGrid w:val="0"/>
                      <w:color w:val="000000"/>
                      <w:kern w:val="0"/>
                      <w:sz w:val="21"/>
                      <w:szCs w:val="21"/>
                      <w:highlight w:val="none"/>
                      <w:u w:val="none"/>
                      <w:lang w:val="en-US" w:eastAsia="zh-CN" w:bidi="ar"/>
                    </w:rPr>
                    <w:t xml:space="preserve">37.7 </w:t>
                  </w:r>
                </w:p>
              </w:tc>
              <w:tc>
                <w:tcPr>
                  <w:tcW w:w="258" w:type="pct"/>
                  <w:vMerge w:val="restart"/>
                  <w:tcBorders>
                    <w:tl2br w:val="nil"/>
                    <w:tr2bl w:val="nil"/>
                  </w:tcBorders>
                  <w:noWrap w:val="0"/>
                  <w:vAlign w:val="center"/>
                </w:tcPr>
                <w:p w14:paraId="5EC3F3EE">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eastAsia" w:ascii="Times New Roman" w:hAnsi="Times New Roman" w:eastAsia="等线" w:cs="Times New Roman"/>
                      <w:i w:val="0"/>
                      <w:iCs w:val="0"/>
                      <w:snapToGrid w:val="0"/>
                      <w:color w:val="000000"/>
                      <w:kern w:val="0"/>
                      <w:sz w:val="21"/>
                      <w:szCs w:val="21"/>
                      <w:highlight w:val="none"/>
                      <w:u w:val="none"/>
                      <w:lang w:val="en-US" w:eastAsia="zh-CN" w:bidi="ar"/>
                    </w:rPr>
                    <w:t xml:space="preserve">37.7 </w:t>
                  </w:r>
                </w:p>
              </w:tc>
            </w:tr>
            <w:tr w14:paraId="3122C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shd w:val="clear" w:color="auto" w:fill="auto"/>
                  <w:noWrap w:val="0"/>
                  <w:vAlign w:val="center"/>
                </w:tcPr>
                <w:p w14:paraId="625FFDF5">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39" w:type="pct"/>
                  <w:gridSpan w:val="2"/>
                  <w:vMerge w:val="continue"/>
                  <w:tcBorders>
                    <w:tl2br w:val="nil"/>
                    <w:tr2bl w:val="nil"/>
                  </w:tcBorders>
                  <w:noWrap w:val="0"/>
                  <w:vAlign w:val="center"/>
                </w:tcPr>
                <w:p w14:paraId="07892501">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52" w:type="pct"/>
                  <w:tcBorders>
                    <w:tl2br w:val="nil"/>
                    <w:tr2bl w:val="nil"/>
                  </w:tcBorders>
                  <w:noWrap w:val="0"/>
                  <w:vAlign w:val="top"/>
                </w:tcPr>
                <w:p w14:paraId="0D3AA60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拉带机</w:t>
                  </w:r>
                </w:p>
                <w:p w14:paraId="17B34039">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（2台）</w:t>
                  </w:r>
                </w:p>
              </w:tc>
              <w:tc>
                <w:tcPr>
                  <w:tcW w:w="273" w:type="pct"/>
                  <w:tcBorders>
                    <w:tl2br w:val="nil"/>
                    <w:tr2bl w:val="nil"/>
                  </w:tcBorders>
                  <w:noWrap w:val="0"/>
                  <w:vAlign w:val="center"/>
                </w:tcPr>
                <w:p w14:paraId="0B795145">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78</w:t>
                  </w:r>
                </w:p>
              </w:tc>
              <w:tc>
                <w:tcPr>
                  <w:tcW w:w="217" w:type="pct"/>
                  <w:vMerge w:val="continue"/>
                  <w:tcBorders>
                    <w:tl2br w:val="nil"/>
                    <w:tr2bl w:val="nil"/>
                  </w:tcBorders>
                  <w:noWrap w:val="0"/>
                  <w:vAlign w:val="center"/>
                </w:tcPr>
                <w:p w14:paraId="06F2145A">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198" w:type="pct"/>
                  <w:tcBorders>
                    <w:tl2br w:val="nil"/>
                    <w:tr2bl w:val="nil"/>
                  </w:tcBorders>
                  <w:shd w:val="clear" w:color="auto" w:fill="auto"/>
                  <w:noWrap w:val="0"/>
                  <w:vAlign w:val="center"/>
                </w:tcPr>
                <w:p w14:paraId="25A1F85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20</w:t>
                  </w:r>
                </w:p>
              </w:tc>
              <w:tc>
                <w:tcPr>
                  <w:tcW w:w="160" w:type="pct"/>
                  <w:tcBorders>
                    <w:tl2br w:val="nil"/>
                    <w:tr2bl w:val="nil"/>
                  </w:tcBorders>
                  <w:shd w:val="clear" w:color="auto" w:fill="auto"/>
                  <w:noWrap w:val="0"/>
                  <w:vAlign w:val="center"/>
                </w:tcPr>
                <w:p w14:paraId="50CA0E4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30</w:t>
                  </w:r>
                </w:p>
              </w:tc>
              <w:tc>
                <w:tcPr>
                  <w:tcW w:w="163" w:type="pct"/>
                  <w:tcBorders>
                    <w:tl2br w:val="nil"/>
                    <w:tr2bl w:val="nil"/>
                  </w:tcBorders>
                  <w:shd w:val="clear" w:color="auto" w:fill="auto"/>
                  <w:noWrap w:val="0"/>
                  <w:vAlign w:val="center"/>
                </w:tcPr>
                <w:p w14:paraId="72A64B93">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w:t>
                  </w:r>
                </w:p>
              </w:tc>
              <w:tc>
                <w:tcPr>
                  <w:tcW w:w="198" w:type="pct"/>
                  <w:tcBorders>
                    <w:tl2br w:val="nil"/>
                    <w:tr2bl w:val="nil"/>
                  </w:tcBorders>
                  <w:shd w:val="clear" w:color="auto" w:fill="auto"/>
                  <w:noWrap w:val="0"/>
                  <w:vAlign w:val="center"/>
                </w:tcPr>
                <w:p w14:paraId="7F43D77C">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30</w:t>
                  </w:r>
                </w:p>
              </w:tc>
              <w:tc>
                <w:tcPr>
                  <w:tcW w:w="160" w:type="pct"/>
                  <w:tcBorders>
                    <w:tl2br w:val="nil"/>
                    <w:tr2bl w:val="nil"/>
                  </w:tcBorders>
                  <w:shd w:val="clear" w:color="auto" w:fill="auto"/>
                  <w:noWrap w:val="0"/>
                  <w:vAlign w:val="center"/>
                </w:tcPr>
                <w:p w14:paraId="7B36D8B4">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30</w:t>
                  </w:r>
                </w:p>
              </w:tc>
              <w:tc>
                <w:tcPr>
                  <w:tcW w:w="198" w:type="pct"/>
                  <w:tcBorders>
                    <w:tl2br w:val="nil"/>
                    <w:tr2bl w:val="nil"/>
                  </w:tcBorders>
                  <w:shd w:val="clear" w:color="auto" w:fill="auto"/>
                  <w:noWrap w:val="0"/>
                  <w:vAlign w:val="center"/>
                </w:tcPr>
                <w:p w14:paraId="15076953">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20</w:t>
                  </w:r>
                </w:p>
              </w:tc>
              <w:tc>
                <w:tcPr>
                  <w:tcW w:w="173" w:type="pct"/>
                  <w:tcBorders>
                    <w:tl2br w:val="nil"/>
                    <w:tr2bl w:val="nil"/>
                  </w:tcBorders>
                  <w:shd w:val="clear" w:color="auto" w:fill="auto"/>
                  <w:noWrap w:val="0"/>
                  <w:vAlign w:val="center"/>
                </w:tcPr>
                <w:p w14:paraId="4DDD405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5</w:t>
                  </w:r>
                </w:p>
              </w:tc>
              <w:tc>
                <w:tcPr>
                  <w:tcW w:w="208" w:type="pct"/>
                  <w:tcBorders>
                    <w:tl2br w:val="nil"/>
                    <w:tr2bl w:val="nil"/>
                  </w:tcBorders>
                  <w:shd w:val="clear" w:color="auto" w:fill="auto"/>
                  <w:noWrap w:val="0"/>
                  <w:vAlign w:val="center"/>
                </w:tcPr>
                <w:p w14:paraId="44F42255">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45.8</w:t>
                  </w:r>
                </w:p>
              </w:tc>
              <w:tc>
                <w:tcPr>
                  <w:tcW w:w="218" w:type="pct"/>
                  <w:tcBorders>
                    <w:tl2br w:val="nil"/>
                    <w:tr2bl w:val="nil"/>
                  </w:tcBorders>
                  <w:shd w:val="clear" w:color="auto" w:fill="auto"/>
                  <w:noWrap w:val="0"/>
                  <w:vAlign w:val="center"/>
                </w:tcPr>
                <w:p w14:paraId="1CD7AC75">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45.8</w:t>
                  </w:r>
                </w:p>
              </w:tc>
              <w:tc>
                <w:tcPr>
                  <w:tcW w:w="218" w:type="pct"/>
                  <w:tcBorders>
                    <w:tl2br w:val="nil"/>
                    <w:tr2bl w:val="nil"/>
                  </w:tcBorders>
                  <w:shd w:val="clear" w:color="auto" w:fill="auto"/>
                  <w:noWrap w:val="0"/>
                  <w:vAlign w:val="center"/>
                </w:tcPr>
                <w:p w14:paraId="31C8CADF">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45.9</w:t>
                  </w:r>
                </w:p>
              </w:tc>
              <w:tc>
                <w:tcPr>
                  <w:tcW w:w="225" w:type="pct"/>
                  <w:tcBorders>
                    <w:tl2br w:val="nil"/>
                    <w:tr2bl w:val="nil"/>
                  </w:tcBorders>
                  <w:shd w:val="clear" w:color="auto" w:fill="auto"/>
                  <w:noWrap w:val="0"/>
                  <w:vAlign w:val="center"/>
                </w:tcPr>
                <w:p w14:paraId="1AD66656">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47.6</w:t>
                  </w:r>
                </w:p>
              </w:tc>
              <w:tc>
                <w:tcPr>
                  <w:tcW w:w="160" w:type="pct"/>
                  <w:vMerge w:val="continue"/>
                  <w:tcBorders>
                    <w:tl2br w:val="nil"/>
                    <w:tr2bl w:val="nil"/>
                  </w:tcBorders>
                  <w:noWrap w:val="0"/>
                  <w:vAlign w:val="center"/>
                </w:tcPr>
                <w:p w14:paraId="36E028B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0CC9DD75">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5348A2D5">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5B6D1B81">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275A1790">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302A1EB3">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08845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shd w:val="clear" w:color="auto" w:fill="auto"/>
                  <w:noWrap w:val="0"/>
                  <w:vAlign w:val="center"/>
                </w:tcPr>
                <w:p w14:paraId="3A5B4D7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39" w:type="pct"/>
                  <w:gridSpan w:val="2"/>
                  <w:vMerge w:val="continue"/>
                  <w:tcBorders>
                    <w:tl2br w:val="nil"/>
                    <w:tr2bl w:val="nil"/>
                  </w:tcBorders>
                  <w:noWrap w:val="0"/>
                  <w:vAlign w:val="center"/>
                </w:tcPr>
                <w:p w14:paraId="412BABF4">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52" w:type="pct"/>
                  <w:tcBorders>
                    <w:tl2br w:val="nil"/>
                    <w:tr2bl w:val="nil"/>
                  </w:tcBorders>
                  <w:noWrap w:val="0"/>
                  <w:vAlign w:val="top"/>
                </w:tcPr>
                <w:p w14:paraId="1A7AEEAE">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上下片裁床</w:t>
                  </w:r>
                </w:p>
                <w:p w14:paraId="77383BD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（1台）</w:t>
                  </w:r>
                </w:p>
              </w:tc>
              <w:tc>
                <w:tcPr>
                  <w:tcW w:w="273" w:type="pct"/>
                  <w:tcBorders>
                    <w:tl2br w:val="nil"/>
                    <w:tr2bl w:val="nil"/>
                  </w:tcBorders>
                  <w:noWrap w:val="0"/>
                  <w:vAlign w:val="center"/>
                </w:tcPr>
                <w:p w14:paraId="25053BB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75</w:t>
                  </w:r>
                </w:p>
              </w:tc>
              <w:tc>
                <w:tcPr>
                  <w:tcW w:w="217" w:type="pct"/>
                  <w:vMerge w:val="continue"/>
                  <w:tcBorders>
                    <w:tl2br w:val="nil"/>
                    <w:tr2bl w:val="nil"/>
                  </w:tcBorders>
                  <w:shd w:val="clear" w:color="auto" w:fill="auto"/>
                  <w:noWrap w:val="0"/>
                  <w:vAlign w:val="center"/>
                </w:tcPr>
                <w:p w14:paraId="47CA3EFB">
                  <w:pPr>
                    <w:widowControl/>
                    <w:jc w:val="center"/>
                    <w:textAlignment w:val="center"/>
                    <w:rPr>
                      <w:rFonts w:hint="default" w:ascii="Times New Roman" w:hAnsi="Times New Roman" w:eastAsia="宋体" w:cs="Times New Roman"/>
                      <w:snapToGrid w:val="0"/>
                      <w:color w:val="000000"/>
                      <w:kern w:val="0"/>
                      <w:sz w:val="20"/>
                      <w:szCs w:val="20"/>
                      <w:highlight w:val="none"/>
                      <w:lang w:bidi="ar"/>
                    </w:rPr>
                  </w:pPr>
                </w:p>
              </w:tc>
              <w:tc>
                <w:tcPr>
                  <w:tcW w:w="198" w:type="pct"/>
                  <w:tcBorders>
                    <w:tl2br w:val="nil"/>
                    <w:tr2bl w:val="nil"/>
                  </w:tcBorders>
                  <w:shd w:val="clear" w:color="auto" w:fill="auto"/>
                  <w:noWrap w:val="0"/>
                  <w:vAlign w:val="center"/>
                </w:tcPr>
                <w:p w14:paraId="2B8662B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40</w:t>
                  </w:r>
                </w:p>
              </w:tc>
              <w:tc>
                <w:tcPr>
                  <w:tcW w:w="160" w:type="pct"/>
                  <w:tcBorders>
                    <w:tl2br w:val="nil"/>
                    <w:tr2bl w:val="nil"/>
                  </w:tcBorders>
                  <w:shd w:val="clear" w:color="auto" w:fill="auto"/>
                  <w:noWrap w:val="0"/>
                  <w:vAlign w:val="center"/>
                </w:tcPr>
                <w:p w14:paraId="75ED134C">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25</w:t>
                  </w:r>
                </w:p>
              </w:tc>
              <w:tc>
                <w:tcPr>
                  <w:tcW w:w="163" w:type="pct"/>
                  <w:tcBorders>
                    <w:tl2br w:val="nil"/>
                    <w:tr2bl w:val="nil"/>
                  </w:tcBorders>
                  <w:shd w:val="clear" w:color="auto" w:fill="auto"/>
                  <w:noWrap w:val="0"/>
                  <w:vAlign w:val="center"/>
                </w:tcPr>
                <w:p w14:paraId="06FCDCB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w:t>
                  </w:r>
                </w:p>
              </w:tc>
              <w:tc>
                <w:tcPr>
                  <w:tcW w:w="198" w:type="pct"/>
                  <w:tcBorders>
                    <w:tl2br w:val="nil"/>
                    <w:tr2bl w:val="nil"/>
                  </w:tcBorders>
                  <w:shd w:val="clear" w:color="auto" w:fill="auto"/>
                  <w:noWrap w:val="0"/>
                  <w:vAlign w:val="center"/>
                </w:tcPr>
                <w:p w14:paraId="2102C02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10</w:t>
                  </w:r>
                </w:p>
              </w:tc>
              <w:tc>
                <w:tcPr>
                  <w:tcW w:w="160" w:type="pct"/>
                  <w:tcBorders>
                    <w:tl2br w:val="nil"/>
                    <w:tr2bl w:val="nil"/>
                  </w:tcBorders>
                  <w:shd w:val="clear" w:color="auto" w:fill="auto"/>
                  <w:noWrap w:val="0"/>
                  <w:vAlign w:val="center"/>
                </w:tcPr>
                <w:p w14:paraId="5B280A1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25</w:t>
                  </w:r>
                </w:p>
              </w:tc>
              <w:tc>
                <w:tcPr>
                  <w:tcW w:w="198" w:type="pct"/>
                  <w:tcBorders>
                    <w:tl2br w:val="nil"/>
                    <w:tr2bl w:val="nil"/>
                  </w:tcBorders>
                  <w:shd w:val="clear" w:color="auto" w:fill="auto"/>
                  <w:noWrap w:val="0"/>
                  <w:vAlign w:val="center"/>
                </w:tcPr>
                <w:p w14:paraId="42D70A52">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40</w:t>
                  </w:r>
                </w:p>
              </w:tc>
              <w:tc>
                <w:tcPr>
                  <w:tcW w:w="173" w:type="pct"/>
                  <w:tcBorders>
                    <w:tl2br w:val="nil"/>
                    <w:tr2bl w:val="nil"/>
                  </w:tcBorders>
                  <w:shd w:val="clear" w:color="auto" w:fill="auto"/>
                  <w:noWrap w:val="0"/>
                  <w:vAlign w:val="center"/>
                </w:tcPr>
                <w:p w14:paraId="1FD0E46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10</w:t>
                  </w:r>
                </w:p>
              </w:tc>
              <w:tc>
                <w:tcPr>
                  <w:tcW w:w="208" w:type="pct"/>
                  <w:tcBorders>
                    <w:tl2br w:val="nil"/>
                    <w:tr2bl w:val="nil"/>
                  </w:tcBorders>
                  <w:shd w:val="clear" w:color="auto" w:fill="auto"/>
                  <w:noWrap w:val="0"/>
                  <w:vAlign w:val="center"/>
                </w:tcPr>
                <w:p w14:paraId="3CD9B20B">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43.3</w:t>
                  </w:r>
                </w:p>
              </w:tc>
              <w:tc>
                <w:tcPr>
                  <w:tcW w:w="218" w:type="pct"/>
                  <w:tcBorders>
                    <w:tl2br w:val="nil"/>
                    <w:tr2bl w:val="nil"/>
                  </w:tcBorders>
                  <w:shd w:val="clear" w:color="auto" w:fill="auto"/>
                  <w:noWrap w:val="0"/>
                  <w:vAlign w:val="center"/>
                </w:tcPr>
                <w:p w14:paraId="114E0F43">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42.8</w:t>
                  </w:r>
                </w:p>
              </w:tc>
              <w:tc>
                <w:tcPr>
                  <w:tcW w:w="218" w:type="pct"/>
                  <w:tcBorders>
                    <w:tl2br w:val="nil"/>
                    <w:tr2bl w:val="nil"/>
                  </w:tcBorders>
                  <w:shd w:val="clear" w:color="auto" w:fill="auto"/>
                  <w:noWrap w:val="0"/>
                  <w:vAlign w:val="center"/>
                </w:tcPr>
                <w:p w14:paraId="02FEB3B1">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42.8</w:t>
                  </w:r>
                </w:p>
              </w:tc>
              <w:tc>
                <w:tcPr>
                  <w:tcW w:w="225" w:type="pct"/>
                  <w:tcBorders>
                    <w:tl2br w:val="nil"/>
                    <w:tr2bl w:val="nil"/>
                  </w:tcBorders>
                  <w:shd w:val="clear" w:color="auto" w:fill="auto"/>
                  <w:noWrap w:val="0"/>
                  <w:vAlign w:val="center"/>
                </w:tcPr>
                <w:p w14:paraId="0FB5203B">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43.3</w:t>
                  </w:r>
                </w:p>
              </w:tc>
              <w:tc>
                <w:tcPr>
                  <w:tcW w:w="160" w:type="pct"/>
                  <w:vMerge w:val="continue"/>
                  <w:tcBorders>
                    <w:tl2br w:val="nil"/>
                    <w:tr2bl w:val="nil"/>
                  </w:tcBorders>
                  <w:noWrap w:val="0"/>
                  <w:vAlign w:val="center"/>
                </w:tcPr>
                <w:p w14:paraId="0ABED906">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060F3C4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451D0DC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2ADD1667">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27891238">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14D15B84">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45A45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shd w:val="clear" w:color="auto" w:fill="auto"/>
                  <w:noWrap w:val="0"/>
                  <w:vAlign w:val="center"/>
                </w:tcPr>
                <w:p w14:paraId="7A3AF699">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39" w:type="pct"/>
                  <w:gridSpan w:val="2"/>
                  <w:vMerge w:val="continue"/>
                  <w:tcBorders>
                    <w:tl2br w:val="nil"/>
                    <w:tr2bl w:val="nil"/>
                  </w:tcBorders>
                  <w:noWrap w:val="0"/>
                  <w:vAlign w:val="center"/>
                </w:tcPr>
                <w:p w14:paraId="6396AA32">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52" w:type="pct"/>
                  <w:tcBorders>
                    <w:tl2br w:val="nil"/>
                    <w:tr2bl w:val="nil"/>
                  </w:tcBorders>
                  <w:noWrap w:val="0"/>
                  <w:vAlign w:val="top"/>
                </w:tcPr>
                <w:p w14:paraId="31B2395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分切机</w:t>
                  </w:r>
                </w:p>
                <w:p w14:paraId="19CE374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（1台）</w:t>
                  </w:r>
                </w:p>
              </w:tc>
              <w:tc>
                <w:tcPr>
                  <w:tcW w:w="273" w:type="pct"/>
                  <w:tcBorders>
                    <w:tl2br w:val="nil"/>
                    <w:tr2bl w:val="nil"/>
                  </w:tcBorders>
                  <w:noWrap w:val="0"/>
                  <w:vAlign w:val="center"/>
                </w:tcPr>
                <w:p w14:paraId="266CEDB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75</w:t>
                  </w:r>
                </w:p>
              </w:tc>
              <w:tc>
                <w:tcPr>
                  <w:tcW w:w="217" w:type="pct"/>
                  <w:vMerge w:val="continue"/>
                  <w:tcBorders>
                    <w:tl2br w:val="nil"/>
                    <w:tr2bl w:val="nil"/>
                  </w:tcBorders>
                  <w:shd w:val="clear" w:color="auto" w:fill="auto"/>
                  <w:noWrap w:val="0"/>
                  <w:vAlign w:val="center"/>
                </w:tcPr>
                <w:p w14:paraId="271FD51C">
                  <w:pPr>
                    <w:widowControl/>
                    <w:jc w:val="center"/>
                    <w:textAlignment w:val="center"/>
                    <w:rPr>
                      <w:rFonts w:hint="default" w:ascii="Times New Roman" w:hAnsi="Times New Roman" w:eastAsia="宋体" w:cs="Times New Roman"/>
                      <w:snapToGrid w:val="0"/>
                      <w:color w:val="000000"/>
                      <w:kern w:val="0"/>
                      <w:sz w:val="20"/>
                      <w:szCs w:val="20"/>
                      <w:highlight w:val="none"/>
                      <w:lang w:val="en-US" w:bidi="ar"/>
                    </w:rPr>
                  </w:pPr>
                </w:p>
              </w:tc>
              <w:tc>
                <w:tcPr>
                  <w:tcW w:w="198" w:type="pct"/>
                  <w:tcBorders>
                    <w:tl2br w:val="nil"/>
                    <w:tr2bl w:val="nil"/>
                  </w:tcBorders>
                  <w:shd w:val="clear" w:color="auto" w:fill="auto"/>
                  <w:noWrap w:val="0"/>
                  <w:vAlign w:val="center"/>
                </w:tcPr>
                <w:p w14:paraId="5B34257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40</w:t>
                  </w:r>
                </w:p>
              </w:tc>
              <w:tc>
                <w:tcPr>
                  <w:tcW w:w="160" w:type="pct"/>
                  <w:tcBorders>
                    <w:tl2br w:val="nil"/>
                    <w:tr2bl w:val="nil"/>
                  </w:tcBorders>
                  <w:shd w:val="clear" w:color="auto" w:fill="auto"/>
                  <w:noWrap w:val="0"/>
                  <w:vAlign w:val="center"/>
                </w:tcPr>
                <w:p w14:paraId="078E4119">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30</w:t>
                  </w:r>
                </w:p>
              </w:tc>
              <w:tc>
                <w:tcPr>
                  <w:tcW w:w="163" w:type="pct"/>
                  <w:tcBorders>
                    <w:tl2br w:val="nil"/>
                    <w:tr2bl w:val="nil"/>
                  </w:tcBorders>
                  <w:shd w:val="clear" w:color="auto" w:fill="auto"/>
                  <w:noWrap w:val="0"/>
                  <w:vAlign w:val="center"/>
                </w:tcPr>
                <w:p w14:paraId="2EE4A7EE">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w:t>
                  </w:r>
                </w:p>
              </w:tc>
              <w:tc>
                <w:tcPr>
                  <w:tcW w:w="198" w:type="pct"/>
                  <w:tcBorders>
                    <w:tl2br w:val="nil"/>
                    <w:tr2bl w:val="nil"/>
                  </w:tcBorders>
                  <w:shd w:val="clear" w:color="auto" w:fill="auto"/>
                  <w:noWrap w:val="0"/>
                  <w:vAlign w:val="center"/>
                </w:tcPr>
                <w:p w14:paraId="37C48C9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10</w:t>
                  </w:r>
                </w:p>
              </w:tc>
              <w:tc>
                <w:tcPr>
                  <w:tcW w:w="160" w:type="pct"/>
                  <w:tcBorders>
                    <w:tl2br w:val="nil"/>
                    <w:tr2bl w:val="nil"/>
                  </w:tcBorders>
                  <w:shd w:val="clear" w:color="auto" w:fill="auto"/>
                  <w:noWrap w:val="0"/>
                  <w:vAlign w:val="center"/>
                </w:tcPr>
                <w:p w14:paraId="539CC82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30</w:t>
                  </w:r>
                </w:p>
              </w:tc>
              <w:tc>
                <w:tcPr>
                  <w:tcW w:w="198" w:type="pct"/>
                  <w:tcBorders>
                    <w:tl2br w:val="nil"/>
                    <w:tr2bl w:val="nil"/>
                  </w:tcBorders>
                  <w:shd w:val="clear" w:color="auto" w:fill="auto"/>
                  <w:noWrap w:val="0"/>
                  <w:vAlign w:val="center"/>
                </w:tcPr>
                <w:p w14:paraId="735D19B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40</w:t>
                  </w:r>
                </w:p>
              </w:tc>
              <w:tc>
                <w:tcPr>
                  <w:tcW w:w="173" w:type="pct"/>
                  <w:tcBorders>
                    <w:tl2br w:val="nil"/>
                    <w:tr2bl w:val="nil"/>
                  </w:tcBorders>
                  <w:shd w:val="clear" w:color="auto" w:fill="auto"/>
                  <w:noWrap w:val="0"/>
                  <w:vAlign w:val="center"/>
                </w:tcPr>
                <w:p w14:paraId="7945777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5</w:t>
                  </w:r>
                </w:p>
              </w:tc>
              <w:tc>
                <w:tcPr>
                  <w:tcW w:w="208" w:type="pct"/>
                  <w:tcBorders>
                    <w:tl2br w:val="nil"/>
                    <w:tr2bl w:val="nil"/>
                  </w:tcBorders>
                  <w:shd w:val="clear" w:color="auto" w:fill="auto"/>
                  <w:noWrap w:val="0"/>
                  <w:vAlign w:val="center"/>
                </w:tcPr>
                <w:p w14:paraId="086E2D9E">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43.3</w:t>
                  </w:r>
                </w:p>
              </w:tc>
              <w:tc>
                <w:tcPr>
                  <w:tcW w:w="218" w:type="pct"/>
                  <w:tcBorders>
                    <w:tl2br w:val="nil"/>
                    <w:tr2bl w:val="nil"/>
                  </w:tcBorders>
                  <w:shd w:val="clear" w:color="auto" w:fill="auto"/>
                  <w:noWrap w:val="0"/>
                  <w:vAlign w:val="center"/>
                </w:tcPr>
                <w:p w14:paraId="0CC4A3D9">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42.8</w:t>
                  </w:r>
                </w:p>
              </w:tc>
              <w:tc>
                <w:tcPr>
                  <w:tcW w:w="218" w:type="pct"/>
                  <w:tcBorders>
                    <w:tl2br w:val="nil"/>
                    <w:tr2bl w:val="nil"/>
                  </w:tcBorders>
                  <w:shd w:val="clear" w:color="auto" w:fill="auto"/>
                  <w:noWrap w:val="0"/>
                  <w:vAlign w:val="center"/>
                </w:tcPr>
                <w:p w14:paraId="5C5E052D">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42.8</w:t>
                  </w:r>
                </w:p>
              </w:tc>
              <w:tc>
                <w:tcPr>
                  <w:tcW w:w="225" w:type="pct"/>
                  <w:tcBorders>
                    <w:tl2br w:val="nil"/>
                    <w:tr2bl w:val="nil"/>
                  </w:tcBorders>
                  <w:shd w:val="clear" w:color="auto" w:fill="auto"/>
                  <w:noWrap w:val="0"/>
                  <w:vAlign w:val="center"/>
                </w:tcPr>
                <w:p w14:paraId="2C1E511F">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highlight w:val="none"/>
                      <w:u w:val="none"/>
                      <w:lang w:val="en-US" w:eastAsia="zh-CN" w:bidi="ar"/>
                    </w:rPr>
                    <w:t>44.6</w:t>
                  </w:r>
                </w:p>
              </w:tc>
              <w:tc>
                <w:tcPr>
                  <w:tcW w:w="160" w:type="pct"/>
                  <w:vMerge w:val="continue"/>
                  <w:tcBorders>
                    <w:tl2br w:val="nil"/>
                    <w:tr2bl w:val="nil"/>
                  </w:tcBorders>
                  <w:noWrap w:val="0"/>
                  <w:vAlign w:val="center"/>
                </w:tcPr>
                <w:p w14:paraId="7AFD1FB3">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1F744CF1">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040D2C0F">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1CF212BC">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3309CD5B">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2C129FDC">
                  <w:pPr>
                    <w:widowControl/>
                    <w:jc w:val="center"/>
                    <w:textAlignment w:val="center"/>
                    <w:rPr>
                      <w:rFonts w:hint="default" w:ascii="Times New Roman" w:hAnsi="Times New Roman" w:eastAsia="宋体" w:cs="Times New Roman"/>
                      <w:color w:val="000000"/>
                      <w:kern w:val="0"/>
                      <w:sz w:val="20"/>
                      <w:szCs w:val="20"/>
                      <w:highlight w:val="none"/>
                      <w:lang w:bidi="ar"/>
                    </w:rPr>
                  </w:pPr>
                </w:p>
              </w:tc>
            </w:tr>
            <w:tr w14:paraId="51BD17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19" w:type="pct"/>
                  <w:tcBorders>
                    <w:tl2br w:val="nil"/>
                    <w:tr2bl w:val="nil"/>
                  </w:tcBorders>
                  <w:shd w:val="clear" w:color="auto" w:fill="auto"/>
                  <w:noWrap w:val="0"/>
                  <w:vAlign w:val="center"/>
                </w:tcPr>
                <w:p w14:paraId="6E9B42C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39" w:type="pct"/>
                  <w:gridSpan w:val="2"/>
                  <w:vMerge w:val="continue"/>
                  <w:tcBorders>
                    <w:tl2br w:val="nil"/>
                    <w:tr2bl w:val="nil"/>
                  </w:tcBorders>
                  <w:noWrap w:val="0"/>
                  <w:vAlign w:val="center"/>
                </w:tcPr>
                <w:p w14:paraId="4190A7B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52" w:type="pct"/>
                  <w:tcBorders>
                    <w:tl2br w:val="nil"/>
                    <w:tr2bl w:val="nil"/>
                  </w:tcBorders>
                  <w:noWrap w:val="0"/>
                  <w:vAlign w:val="top"/>
                </w:tcPr>
                <w:p w14:paraId="542B903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高频机</w:t>
                  </w:r>
                </w:p>
                <w:p w14:paraId="0AEF80E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（13台）</w:t>
                  </w:r>
                </w:p>
              </w:tc>
              <w:tc>
                <w:tcPr>
                  <w:tcW w:w="273" w:type="pct"/>
                  <w:tcBorders>
                    <w:tl2br w:val="nil"/>
                    <w:tr2bl w:val="nil"/>
                  </w:tcBorders>
                  <w:noWrap w:val="0"/>
                  <w:vAlign w:val="center"/>
                </w:tcPr>
                <w:p w14:paraId="3A6D346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86</w:t>
                  </w:r>
                </w:p>
              </w:tc>
              <w:tc>
                <w:tcPr>
                  <w:tcW w:w="217" w:type="pct"/>
                  <w:vMerge w:val="continue"/>
                  <w:tcBorders>
                    <w:tl2br w:val="nil"/>
                    <w:tr2bl w:val="nil"/>
                  </w:tcBorders>
                  <w:shd w:val="clear" w:color="auto" w:fill="auto"/>
                  <w:noWrap w:val="0"/>
                  <w:vAlign w:val="center"/>
                </w:tcPr>
                <w:p w14:paraId="63C05CCF">
                  <w:pPr>
                    <w:widowControl/>
                    <w:jc w:val="center"/>
                    <w:textAlignment w:val="center"/>
                    <w:rPr>
                      <w:rFonts w:hint="default" w:ascii="Times New Roman" w:hAnsi="Times New Roman" w:eastAsia="宋体" w:cs="Times New Roman"/>
                      <w:snapToGrid w:val="0"/>
                      <w:color w:val="000000"/>
                      <w:kern w:val="0"/>
                      <w:sz w:val="20"/>
                      <w:szCs w:val="20"/>
                      <w:highlight w:val="none"/>
                      <w:lang w:val="en-US" w:bidi="ar"/>
                    </w:rPr>
                  </w:pPr>
                </w:p>
              </w:tc>
              <w:tc>
                <w:tcPr>
                  <w:tcW w:w="198" w:type="pct"/>
                  <w:tcBorders>
                    <w:tl2br w:val="nil"/>
                    <w:tr2bl w:val="nil"/>
                  </w:tcBorders>
                  <w:shd w:val="clear" w:color="auto" w:fill="auto"/>
                  <w:noWrap w:val="0"/>
                  <w:vAlign w:val="center"/>
                </w:tcPr>
                <w:p w14:paraId="460A3B7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2"/>
                      <w:szCs w:val="22"/>
                      <w:u w:val="none"/>
                      <w:lang w:val="en-US" w:eastAsia="zh-CN" w:bidi="ar"/>
                    </w:rPr>
                    <w:t>15</w:t>
                  </w:r>
                </w:p>
              </w:tc>
              <w:tc>
                <w:tcPr>
                  <w:tcW w:w="160" w:type="pct"/>
                  <w:tcBorders>
                    <w:tl2br w:val="nil"/>
                    <w:tr2bl w:val="nil"/>
                  </w:tcBorders>
                  <w:shd w:val="clear" w:color="auto" w:fill="auto"/>
                  <w:noWrap w:val="0"/>
                  <w:vAlign w:val="center"/>
                </w:tcPr>
                <w:p w14:paraId="7B11041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2"/>
                      <w:szCs w:val="22"/>
                      <w:u w:val="none"/>
                      <w:lang w:val="en-US" w:eastAsia="zh-CN" w:bidi="ar"/>
                    </w:rPr>
                    <w:t>20</w:t>
                  </w:r>
                </w:p>
              </w:tc>
              <w:tc>
                <w:tcPr>
                  <w:tcW w:w="163" w:type="pct"/>
                  <w:tcBorders>
                    <w:tl2br w:val="nil"/>
                    <w:tr2bl w:val="nil"/>
                  </w:tcBorders>
                  <w:shd w:val="clear" w:color="auto" w:fill="auto"/>
                  <w:noWrap w:val="0"/>
                  <w:vAlign w:val="center"/>
                </w:tcPr>
                <w:p w14:paraId="09619A0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2"/>
                      <w:szCs w:val="22"/>
                      <w:u w:val="none"/>
                      <w:lang w:val="en-US" w:eastAsia="zh-CN" w:bidi="ar"/>
                    </w:rPr>
                    <w:t>2</w:t>
                  </w:r>
                </w:p>
              </w:tc>
              <w:tc>
                <w:tcPr>
                  <w:tcW w:w="198" w:type="pct"/>
                  <w:tcBorders>
                    <w:tl2br w:val="nil"/>
                    <w:tr2bl w:val="nil"/>
                  </w:tcBorders>
                  <w:shd w:val="clear" w:color="auto" w:fill="auto"/>
                  <w:noWrap w:val="0"/>
                  <w:vAlign w:val="center"/>
                </w:tcPr>
                <w:p w14:paraId="79F050D6">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75</w:t>
                  </w:r>
                </w:p>
              </w:tc>
              <w:tc>
                <w:tcPr>
                  <w:tcW w:w="160" w:type="pct"/>
                  <w:tcBorders>
                    <w:tl2br w:val="nil"/>
                    <w:tr2bl w:val="nil"/>
                  </w:tcBorders>
                  <w:shd w:val="clear" w:color="auto" w:fill="auto"/>
                  <w:noWrap w:val="0"/>
                  <w:vAlign w:val="center"/>
                </w:tcPr>
                <w:p w14:paraId="454C9E1C">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20</w:t>
                  </w:r>
                </w:p>
              </w:tc>
              <w:tc>
                <w:tcPr>
                  <w:tcW w:w="198" w:type="pct"/>
                  <w:tcBorders>
                    <w:tl2br w:val="nil"/>
                    <w:tr2bl w:val="nil"/>
                  </w:tcBorders>
                  <w:shd w:val="clear" w:color="auto" w:fill="auto"/>
                  <w:noWrap w:val="0"/>
                  <w:vAlign w:val="center"/>
                </w:tcPr>
                <w:p w14:paraId="629324BA">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15</w:t>
                  </w:r>
                </w:p>
              </w:tc>
              <w:tc>
                <w:tcPr>
                  <w:tcW w:w="173" w:type="pct"/>
                  <w:tcBorders>
                    <w:tl2br w:val="nil"/>
                    <w:tr2bl w:val="nil"/>
                  </w:tcBorders>
                  <w:shd w:val="clear" w:color="auto" w:fill="auto"/>
                  <w:noWrap w:val="0"/>
                  <w:vAlign w:val="center"/>
                </w:tcPr>
                <w:p w14:paraId="36BC221C">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20</w:t>
                  </w:r>
                </w:p>
              </w:tc>
              <w:tc>
                <w:tcPr>
                  <w:tcW w:w="208" w:type="pct"/>
                  <w:tcBorders>
                    <w:tl2br w:val="nil"/>
                    <w:tr2bl w:val="nil"/>
                  </w:tcBorders>
                  <w:shd w:val="clear" w:color="auto" w:fill="auto"/>
                  <w:noWrap w:val="0"/>
                  <w:vAlign w:val="center"/>
                </w:tcPr>
                <w:p w14:paraId="43C9D72E">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51.6</w:t>
                  </w:r>
                </w:p>
              </w:tc>
              <w:tc>
                <w:tcPr>
                  <w:tcW w:w="218" w:type="pct"/>
                  <w:tcBorders>
                    <w:tl2br w:val="nil"/>
                    <w:tr2bl w:val="nil"/>
                  </w:tcBorders>
                  <w:shd w:val="clear" w:color="auto" w:fill="auto"/>
                  <w:noWrap w:val="0"/>
                  <w:vAlign w:val="center"/>
                </w:tcPr>
                <w:p w14:paraId="2E4C114F">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51.8</w:t>
                  </w:r>
                </w:p>
              </w:tc>
              <w:tc>
                <w:tcPr>
                  <w:tcW w:w="218" w:type="pct"/>
                  <w:tcBorders>
                    <w:tl2br w:val="nil"/>
                    <w:tr2bl w:val="nil"/>
                  </w:tcBorders>
                  <w:shd w:val="clear" w:color="auto" w:fill="auto"/>
                  <w:noWrap w:val="0"/>
                  <w:vAlign w:val="center"/>
                </w:tcPr>
                <w:p w14:paraId="34784D62">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52.0</w:t>
                  </w:r>
                </w:p>
              </w:tc>
              <w:tc>
                <w:tcPr>
                  <w:tcW w:w="225" w:type="pct"/>
                  <w:tcBorders>
                    <w:tl2br w:val="nil"/>
                    <w:tr2bl w:val="nil"/>
                  </w:tcBorders>
                  <w:shd w:val="clear" w:color="auto" w:fill="auto"/>
                  <w:noWrap w:val="0"/>
                  <w:vAlign w:val="center"/>
                </w:tcPr>
                <w:p w14:paraId="79744844">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51.8</w:t>
                  </w:r>
                </w:p>
              </w:tc>
              <w:tc>
                <w:tcPr>
                  <w:tcW w:w="160" w:type="pct"/>
                  <w:vMerge w:val="continue"/>
                  <w:tcBorders>
                    <w:tl2br w:val="nil"/>
                    <w:tr2bl w:val="nil"/>
                  </w:tcBorders>
                  <w:noWrap w:val="0"/>
                  <w:vAlign w:val="center"/>
                </w:tcPr>
                <w:p w14:paraId="551F6D55">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56AC81F2">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560C55CB">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p>
              </w:tc>
              <w:tc>
                <w:tcPr>
                  <w:tcW w:w="257" w:type="pct"/>
                  <w:vMerge w:val="continue"/>
                  <w:tcBorders>
                    <w:tl2br w:val="nil"/>
                    <w:tr2bl w:val="nil"/>
                  </w:tcBorders>
                  <w:noWrap w:val="0"/>
                  <w:vAlign w:val="center"/>
                </w:tcPr>
                <w:p w14:paraId="29EC5714">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p>
              </w:tc>
              <w:tc>
                <w:tcPr>
                  <w:tcW w:w="257" w:type="pct"/>
                  <w:vMerge w:val="continue"/>
                  <w:tcBorders>
                    <w:tl2br w:val="nil"/>
                    <w:tr2bl w:val="nil"/>
                  </w:tcBorders>
                  <w:noWrap w:val="0"/>
                  <w:vAlign w:val="center"/>
                </w:tcPr>
                <w:p w14:paraId="524724AA">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p>
              </w:tc>
              <w:tc>
                <w:tcPr>
                  <w:tcW w:w="258" w:type="pct"/>
                  <w:vMerge w:val="continue"/>
                  <w:tcBorders>
                    <w:tl2br w:val="nil"/>
                    <w:tr2bl w:val="nil"/>
                  </w:tcBorders>
                  <w:noWrap w:val="0"/>
                  <w:vAlign w:val="center"/>
                </w:tcPr>
                <w:p w14:paraId="5049D9DC">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p>
              </w:tc>
            </w:tr>
            <w:tr w14:paraId="782341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19" w:type="pct"/>
                  <w:tcBorders>
                    <w:tl2br w:val="nil"/>
                    <w:tr2bl w:val="nil"/>
                  </w:tcBorders>
                  <w:shd w:val="clear" w:color="auto" w:fill="auto"/>
                  <w:noWrap w:val="0"/>
                  <w:vAlign w:val="center"/>
                </w:tcPr>
                <w:p w14:paraId="34983E2E">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39" w:type="pct"/>
                  <w:gridSpan w:val="2"/>
                  <w:vMerge w:val="continue"/>
                  <w:tcBorders>
                    <w:tl2br w:val="nil"/>
                    <w:tr2bl w:val="nil"/>
                  </w:tcBorders>
                  <w:noWrap w:val="0"/>
                  <w:vAlign w:val="center"/>
                </w:tcPr>
                <w:p w14:paraId="1D759FA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52" w:type="pct"/>
                  <w:tcBorders>
                    <w:tl2br w:val="nil"/>
                    <w:tr2bl w:val="nil"/>
                  </w:tcBorders>
                  <w:noWrap w:val="0"/>
                  <w:vAlign w:val="top"/>
                </w:tcPr>
                <w:p w14:paraId="6C7AE70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拉带机</w:t>
                  </w:r>
                </w:p>
                <w:p w14:paraId="63071811">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（2台）</w:t>
                  </w:r>
                </w:p>
              </w:tc>
              <w:tc>
                <w:tcPr>
                  <w:tcW w:w="273" w:type="pct"/>
                  <w:tcBorders>
                    <w:tl2br w:val="nil"/>
                    <w:tr2bl w:val="nil"/>
                  </w:tcBorders>
                  <w:noWrap w:val="0"/>
                  <w:vAlign w:val="center"/>
                </w:tcPr>
                <w:p w14:paraId="0A69CDD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78</w:t>
                  </w:r>
                </w:p>
              </w:tc>
              <w:tc>
                <w:tcPr>
                  <w:tcW w:w="217" w:type="pct"/>
                  <w:vMerge w:val="continue"/>
                  <w:tcBorders>
                    <w:tl2br w:val="nil"/>
                    <w:tr2bl w:val="nil"/>
                  </w:tcBorders>
                  <w:shd w:val="clear" w:color="auto" w:fill="auto"/>
                  <w:noWrap w:val="0"/>
                  <w:vAlign w:val="center"/>
                </w:tcPr>
                <w:p w14:paraId="2C006FD1">
                  <w:pPr>
                    <w:widowControl/>
                    <w:jc w:val="center"/>
                    <w:textAlignment w:val="center"/>
                    <w:rPr>
                      <w:rFonts w:hint="default" w:ascii="Times New Roman" w:hAnsi="Times New Roman" w:eastAsia="宋体" w:cs="Times New Roman"/>
                      <w:snapToGrid w:val="0"/>
                      <w:color w:val="000000"/>
                      <w:kern w:val="0"/>
                      <w:sz w:val="20"/>
                      <w:szCs w:val="20"/>
                      <w:highlight w:val="none"/>
                      <w:lang w:val="en-US" w:bidi="ar"/>
                    </w:rPr>
                  </w:pPr>
                </w:p>
              </w:tc>
              <w:tc>
                <w:tcPr>
                  <w:tcW w:w="198" w:type="pct"/>
                  <w:tcBorders>
                    <w:tl2br w:val="nil"/>
                    <w:tr2bl w:val="nil"/>
                  </w:tcBorders>
                  <w:shd w:val="clear" w:color="auto" w:fill="auto"/>
                  <w:noWrap w:val="0"/>
                  <w:vAlign w:val="center"/>
                </w:tcPr>
                <w:p w14:paraId="45305BF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2"/>
                      <w:szCs w:val="22"/>
                      <w:u w:val="none"/>
                      <w:lang w:val="en-US" w:eastAsia="zh-CN" w:bidi="ar"/>
                    </w:rPr>
                    <w:t>60</w:t>
                  </w:r>
                </w:p>
              </w:tc>
              <w:tc>
                <w:tcPr>
                  <w:tcW w:w="160" w:type="pct"/>
                  <w:tcBorders>
                    <w:tl2br w:val="nil"/>
                    <w:tr2bl w:val="nil"/>
                  </w:tcBorders>
                  <w:shd w:val="clear" w:color="auto" w:fill="auto"/>
                  <w:noWrap w:val="0"/>
                  <w:vAlign w:val="center"/>
                </w:tcPr>
                <w:p w14:paraId="5C10FFB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2"/>
                      <w:szCs w:val="22"/>
                      <w:u w:val="none"/>
                      <w:lang w:val="en-US" w:eastAsia="zh-CN" w:bidi="ar"/>
                    </w:rPr>
                    <w:t>20</w:t>
                  </w:r>
                </w:p>
              </w:tc>
              <w:tc>
                <w:tcPr>
                  <w:tcW w:w="163" w:type="pct"/>
                  <w:tcBorders>
                    <w:tl2br w:val="nil"/>
                    <w:tr2bl w:val="nil"/>
                  </w:tcBorders>
                  <w:shd w:val="clear" w:color="auto" w:fill="auto"/>
                  <w:noWrap w:val="0"/>
                  <w:vAlign w:val="center"/>
                </w:tcPr>
                <w:p w14:paraId="6263B7E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等线" w:cs="Times New Roman"/>
                      <w:i w:val="0"/>
                      <w:iCs w:val="0"/>
                      <w:snapToGrid w:val="0"/>
                      <w:color w:val="000000"/>
                      <w:kern w:val="0"/>
                      <w:sz w:val="22"/>
                      <w:szCs w:val="22"/>
                      <w:u w:val="none"/>
                      <w:lang w:val="en-US" w:eastAsia="zh-CN" w:bidi="ar"/>
                    </w:rPr>
                    <w:t>2</w:t>
                  </w:r>
                </w:p>
              </w:tc>
              <w:tc>
                <w:tcPr>
                  <w:tcW w:w="198" w:type="pct"/>
                  <w:tcBorders>
                    <w:tl2br w:val="nil"/>
                    <w:tr2bl w:val="nil"/>
                  </w:tcBorders>
                  <w:shd w:val="clear" w:color="auto" w:fill="auto"/>
                  <w:noWrap w:val="0"/>
                  <w:vAlign w:val="center"/>
                </w:tcPr>
                <w:p w14:paraId="6464A26C">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30</w:t>
                  </w:r>
                </w:p>
              </w:tc>
              <w:tc>
                <w:tcPr>
                  <w:tcW w:w="160" w:type="pct"/>
                  <w:tcBorders>
                    <w:tl2br w:val="nil"/>
                    <w:tr2bl w:val="nil"/>
                  </w:tcBorders>
                  <w:shd w:val="clear" w:color="auto" w:fill="auto"/>
                  <w:noWrap w:val="0"/>
                  <w:vAlign w:val="center"/>
                </w:tcPr>
                <w:p w14:paraId="4B10E5F4">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20</w:t>
                  </w:r>
                </w:p>
              </w:tc>
              <w:tc>
                <w:tcPr>
                  <w:tcW w:w="198" w:type="pct"/>
                  <w:tcBorders>
                    <w:tl2br w:val="nil"/>
                    <w:tr2bl w:val="nil"/>
                  </w:tcBorders>
                  <w:shd w:val="clear" w:color="auto" w:fill="auto"/>
                  <w:noWrap w:val="0"/>
                  <w:vAlign w:val="center"/>
                </w:tcPr>
                <w:p w14:paraId="70605437">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60</w:t>
                  </w:r>
                </w:p>
              </w:tc>
              <w:tc>
                <w:tcPr>
                  <w:tcW w:w="173" w:type="pct"/>
                  <w:tcBorders>
                    <w:tl2br w:val="nil"/>
                    <w:tr2bl w:val="nil"/>
                  </w:tcBorders>
                  <w:shd w:val="clear" w:color="auto" w:fill="auto"/>
                  <w:noWrap w:val="0"/>
                  <w:vAlign w:val="center"/>
                </w:tcPr>
                <w:p w14:paraId="75B209E7">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20</w:t>
                  </w:r>
                </w:p>
              </w:tc>
              <w:tc>
                <w:tcPr>
                  <w:tcW w:w="208" w:type="pct"/>
                  <w:tcBorders>
                    <w:tl2br w:val="nil"/>
                    <w:tr2bl w:val="nil"/>
                  </w:tcBorders>
                  <w:shd w:val="clear" w:color="auto" w:fill="auto"/>
                  <w:noWrap w:val="0"/>
                  <w:vAlign w:val="center"/>
                </w:tcPr>
                <w:p w14:paraId="06FA7EEF">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43.5</w:t>
                  </w:r>
                </w:p>
              </w:tc>
              <w:tc>
                <w:tcPr>
                  <w:tcW w:w="218" w:type="pct"/>
                  <w:tcBorders>
                    <w:tl2br w:val="nil"/>
                    <w:tr2bl w:val="nil"/>
                  </w:tcBorders>
                  <w:shd w:val="clear" w:color="auto" w:fill="auto"/>
                  <w:noWrap w:val="0"/>
                  <w:vAlign w:val="center"/>
                </w:tcPr>
                <w:p w14:paraId="772936BB">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43.7</w:t>
                  </w:r>
                </w:p>
              </w:tc>
              <w:tc>
                <w:tcPr>
                  <w:tcW w:w="218" w:type="pct"/>
                  <w:tcBorders>
                    <w:tl2br w:val="nil"/>
                    <w:tr2bl w:val="nil"/>
                  </w:tcBorders>
                  <w:shd w:val="clear" w:color="auto" w:fill="auto"/>
                  <w:noWrap w:val="0"/>
                  <w:vAlign w:val="center"/>
                </w:tcPr>
                <w:p w14:paraId="2D87E122">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43.5</w:t>
                  </w:r>
                </w:p>
              </w:tc>
              <w:tc>
                <w:tcPr>
                  <w:tcW w:w="225" w:type="pct"/>
                  <w:tcBorders>
                    <w:tl2br w:val="nil"/>
                    <w:tr2bl w:val="nil"/>
                  </w:tcBorders>
                  <w:shd w:val="clear" w:color="auto" w:fill="auto"/>
                  <w:noWrap w:val="0"/>
                  <w:vAlign w:val="center"/>
                </w:tcPr>
                <w:p w14:paraId="2B7C57BF">
                  <w:pPr>
                    <w:keepNext w:val="0"/>
                    <w:keepLines w:val="0"/>
                    <w:widowControl/>
                    <w:suppressLineNumbers w:val="0"/>
                    <w:jc w:val="center"/>
                    <w:textAlignment w:val="center"/>
                    <w:rPr>
                      <w:rFonts w:hint="default" w:ascii="Times New Roman" w:hAnsi="Times New Roman" w:eastAsia="等线" w:cs="Times New Roman"/>
                      <w:i w:val="0"/>
                      <w:iCs w:val="0"/>
                      <w:snapToGrid w:val="0"/>
                      <w:color w:val="000000"/>
                      <w:kern w:val="0"/>
                      <w:sz w:val="21"/>
                      <w:szCs w:val="21"/>
                      <w:highlight w:val="none"/>
                      <w:u w:val="none"/>
                      <w:lang w:val="en-US" w:eastAsia="zh-CN" w:bidi="ar"/>
                    </w:rPr>
                  </w:pPr>
                  <w:r>
                    <w:rPr>
                      <w:rFonts w:hint="default" w:ascii="Times New Roman" w:hAnsi="Times New Roman" w:eastAsia="等线" w:cs="Times New Roman"/>
                      <w:i w:val="0"/>
                      <w:iCs w:val="0"/>
                      <w:snapToGrid w:val="0"/>
                      <w:color w:val="000000"/>
                      <w:kern w:val="0"/>
                      <w:sz w:val="21"/>
                      <w:szCs w:val="21"/>
                      <w:u w:val="none"/>
                      <w:lang w:val="en-US" w:eastAsia="zh-CN" w:bidi="ar"/>
                    </w:rPr>
                    <w:t>43.7</w:t>
                  </w:r>
                </w:p>
              </w:tc>
              <w:tc>
                <w:tcPr>
                  <w:tcW w:w="160" w:type="pct"/>
                  <w:vMerge w:val="continue"/>
                  <w:tcBorders>
                    <w:tl2br w:val="nil"/>
                    <w:tr2bl w:val="nil"/>
                  </w:tcBorders>
                  <w:noWrap w:val="0"/>
                  <w:vAlign w:val="center"/>
                </w:tcPr>
                <w:p w14:paraId="3DDDC8AE">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81" w:type="pct"/>
                  <w:vMerge w:val="continue"/>
                  <w:tcBorders>
                    <w:tl2br w:val="nil"/>
                    <w:tr2bl w:val="nil"/>
                  </w:tcBorders>
                  <w:noWrap w:val="0"/>
                  <w:vAlign w:val="center"/>
                </w:tcPr>
                <w:p w14:paraId="2A6D02C7">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208B74A2">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4CD1B757">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7" w:type="pct"/>
                  <w:vMerge w:val="continue"/>
                  <w:tcBorders>
                    <w:tl2br w:val="nil"/>
                    <w:tr2bl w:val="nil"/>
                  </w:tcBorders>
                  <w:noWrap w:val="0"/>
                  <w:vAlign w:val="center"/>
                </w:tcPr>
                <w:p w14:paraId="20B039AD">
                  <w:pPr>
                    <w:widowControl/>
                    <w:jc w:val="center"/>
                    <w:textAlignment w:val="center"/>
                    <w:rPr>
                      <w:rFonts w:hint="default" w:ascii="Times New Roman" w:hAnsi="Times New Roman" w:eastAsia="宋体" w:cs="Times New Roman"/>
                      <w:color w:val="000000"/>
                      <w:kern w:val="0"/>
                      <w:sz w:val="20"/>
                      <w:szCs w:val="20"/>
                      <w:highlight w:val="none"/>
                      <w:lang w:bidi="ar"/>
                    </w:rPr>
                  </w:pPr>
                </w:p>
              </w:tc>
              <w:tc>
                <w:tcPr>
                  <w:tcW w:w="258" w:type="pct"/>
                  <w:vMerge w:val="continue"/>
                  <w:tcBorders>
                    <w:tl2br w:val="nil"/>
                    <w:tr2bl w:val="nil"/>
                  </w:tcBorders>
                  <w:noWrap w:val="0"/>
                  <w:vAlign w:val="center"/>
                </w:tcPr>
                <w:p w14:paraId="57A160C5">
                  <w:pPr>
                    <w:widowControl/>
                    <w:jc w:val="center"/>
                    <w:textAlignment w:val="center"/>
                    <w:rPr>
                      <w:rFonts w:hint="default" w:ascii="Times New Roman" w:hAnsi="Times New Roman" w:eastAsia="宋体" w:cs="Times New Roman"/>
                      <w:color w:val="000000"/>
                      <w:kern w:val="0"/>
                      <w:sz w:val="20"/>
                      <w:szCs w:val="20"/>
                      <w:highlight w:val="none"/>
                      <w:lang w:bidi="ar"/>
                    </w:rPr>
                  </w:pPr>
                </w:p>
              </w:tc>
            </w:tr>
            <w:bookmarkEnd w:id="9"/>
          </w:tbl>
          <w:p w14:paraId="77C12113">
            <w:pPr>
              <w:spacing w:line="360" w:lineRule="auto"/>
              <w:ind w:firstLine="480" w:firstLineChars="200"/>
              <w:jc w:val="center"/>
              <w:rPr>
                <w:rFonts w:hint="default" w:ascii="Times New Roman" w:hAnsi="Times New Roman" w:cs="Times New Roman"/>
                <w:b/>
                <w:color w:val="000000"/>
                <w:sz w:val="24"/>
                <w:highlight w:val="none"/>
              </w:rPr>
            </w:pPr>
          </w:p>
          <w:p w14:paraId="79F1F7BF">
            <w:pPr>
              <w:spacing w:line="360" w:lineRule="auto"/>
              <w:ind w:firstLine="480" w:firstLineChars="200"/>
              <w:jc w:val="center"/>
              <w:rPr>
                <w:rFonts w:hint="default" w:ascii="Times New Roman" w:hAnsi="Times New Roman" w:eastAsia="宋体" w:cs="Times New Roman"/>
                <w:bCs/>
                <w:spacing w:val="-10"/>
                <w:szCs w:val="21"/>
                <w:highlight w:val="none"/>
                <w:lang w:eastAsia="zh-CN"/>
              </w:rPr>
            </w:pPr>
            <w:r>
              <w:rPr>
                <w:rFonts w:hint="default" w:ascii="Times New Roman" w:hAnsi="Times New Roman" w:cs="Times New Roman"/>
                <w:b/>
                <w:color w:val="000000"/>
                <w:sz w:val="24"/>
                <w:highlight w:val="none"/>
              </w:rPr>
              <w:t>表4</w:t>
            </w:r>
            <w:r>
              <w:rPr>
                <w:rFonts w:hint="eastAsia" w:ascii="Times New Roman" w:hAnsi="Times New Roman" w:eastAsia="宋体" w:cs="Times New Roman"/>
                <w:b/>
                <w:color w:val="000000"/>
                <w:sz w:val="24"/>
                <w:highlight w:val="none"/>
                <w:lang w:val="en-US" w:eastAsia="zh-CN"/>
              </w:rPr>
              <w:t>.3</w:t>
            </w:r>
            <w:r>
              <w:rPr>
                <w:rFonts w:hint="eastAsia" w:ascii="Times New Roman" w:hAnsi="Times New Roman" w:cs="Times New Roman"/>
                <w:b/>
                <w:color w:val="000000"/>
                <w:sz w:val="24"/>
                <w:highlight w:val="none"/>
                <w:lang w:val="en-US" w:eastAsia="zh-CN"/>
              </w:rPr>
              <w:t>-2</w:t>
            </w:r>
            <w:r>
              <w:rPr>
                <w:rFonts w:hint="default" w:ascii="Times New Roman" w:hAnsi="Times New Roman" w:cs="Times New Roman"/>
                <w:b/>
                <w:color w:val="000000"/>
                <w:sz w:val="24"/>
                <w:highlight w:val="none"/>
              </w:rPr>
              <w:t xml:space="preserve"> 工业企业噪声源强调查清单</w:t>
            </w:r>
            <w:r>
              <w:rPr>
                <w:rFonts w:hint="default" w:ascii="Times New Roman" w:hAnsi="Times New Roman" w:cs="Times New Roman"/>
                <w:b/>
                <w:color w:val="000000"/>
                <w:sz w:val="24"/>
                <w:highlight w:val="none"/>
                <w:lang w:eastAsia="zh-CN"/>
              </w:rPr>
              <w:t>（</w:t>
            </w:r>
            <w:r>
              <w:rPr>
                <w:rFonts w:hint="default" w:ascii="Times New Roman" w:hAnsi="Times New Roman" w:cs="Times New Roman"/>
                <w:b/>
                <w:color w:val="000000"/>
                <w:sz w:val="24"/>
                <w:highlight w:val="none"/>
                <w:lang w:val="en-US" w:eastAsia="zh-CN"/>
              </w:rPr>
              <w:t>室外声源</w:t>
            </w:r>
            <w:r>
              <w:rPr>
                <w:rFonts w:hint="default" w:ascii="Times New Roman" w:hAnsi="Times New Roman" w:cs="Times New Roman"/>
                <w:b/>
                <w:color w:val="000000"/>
                <w:sz w:val="24"/>
                <w:highlight w:val="none"/>
                <w:lang w:eastAsia="zh-CN"/>
              </w:rPr>
              <w:t>）</w:t>
            </w:r>
          </w:p>
          <w:tbl>
            <w:tblPr>
              <w:tblStyle w:val="17"/>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218"/>
              <w:gridCol w:w="742"/>
              <w:gridCol w:w="915"/>
              <w:gridCol w:w="831"/>
              <w:gridCol w:w="706"/>
              <w:gridCol w:w="4896"/>
              <w:gridCol w:w="2688"/>
              <w:gridCol w:w="1194"/>
            </w:tblGrid>
            <w:tr w14:paraId="715D4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66" w:type="pct"/>
                  <w:vMerge w:val="restart"/>
                  <w:tcBorders>
                    <w:tl2br w:val="nil"/>
                    <w:tr2bl w:val="nil"/>
                  </w:tcBorders>
                  <w:noWrap w:val="0"/>
                  <w:vAlign w:val="center"/>
                </w:tcPr>
                <w:p w14:paraId="545D5E41">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bookmarkStart w:id="10" w:name="PT_5"/>
                  <w:r>
                    <w:rPr>
                      <w:rFonts w:hint="default" w:ascii="Times New Roman" w:hAnsi="Times New Roman" w:eastAsia="宋体" w:cs="Times New Roman"/>
                      <w:color w:val="000000"/>
                      <w:kern w:val="0"/>
                      <w:sz w:val="20"/>
                      <w:szCs w:val="20"/>
                      <w:highlight w:val="none"/>
                      <w:lang w:val="en-US" w:eastAsia="zh-CN" w:bidi="ar"/>
                    </w:rPr>
                    <w:t>序号</w:t>
                  </w:r>
                </w:p>
              </w:tc>
              <w:tc>
                <w:tcPr>
                  <w:tcW w:w="437" w:type="pct"/>
                  <w:vMerge w:val="restart"/>
                  <w:tcBorders>
                    <w:tl2br w:val="nil"/>
                    <w:tr2bl w:val="nil"/>
                  </w:tcBorders>
                  <w:noWrap w:val="0"/>
                  <w:vAlign w:val="center"/>
                </w:tcPr>
                <w:p w14:paraId="116FFB33">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声源名称</w:t>
                  </w:r>
                </w:p>
              </w:tc>
              <w:tc>
                <w:tcPr>
                  <w:tcW w:w="266" w:type="pct"/>
                  <w:vMerge w:val="restart"/>
                  <w:tcBorders>
                    <w:tl2br w:val="nil"/>
                    <w:tr2bl w:val="nil"/>
                  </w:tcBorders>
                  <w:noWrap w:val="0"/>
                  <w:vAlign w:val="center"/>
                </w:tcPr>
                <w:p w14:paraId="305ED9B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型号</w:t>
                  </w:r>
                </w:p>
              </w:tc>
              <w:tc>
                <w:tcPr>
                  <w:tcW w:w="879" w:type="pct"/>
                  <w:gridSpan w:val="3"/>
                  <w:tcBorders>
                    <w:tl2br w:val="nil"/>
                    <w:tr2bl w:val="nil"/>
                  </w:tcBorders>
                  <w:noWrap w:val="0"/>
                  <w:vAlign w:val="center"/>
                </w:tcPr>
                <w:p w14:paraId="41791F2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空间相对位置/m</w:t>
                  </w:r>
                </w:p>
              </w:tc>
              <w:tc>
                <w:tcPr>
                  <w:tcW w:w="1756" w:type="pct"/>
                  <w:tcBorders>
                    <w:tl2br w:val="nil"/>
                    <w:tr2bl w:val="nil"/>
                  </w:tcBorders>
                  <w:noWrap w:val="0"/>
                  <w:vAlign w:val="center"/>
                </w:tcPr>
                <w:p w14:paraId="5F1D95A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声源源强</w:t>
                  </w:r>
                </w:p>
              </w:tc>
              <w:tc>
                <w:tcPr>
                  <w:tcW w:w="964" w:type="pct"/>
                  <w:vMerge w:val="restart"/>
                  <w:tcBorders>
                    <w:tl2br w:val="nil"/>
                    <w:tr2bl w:val="nil"/>
                  </w:tcBorders>
                  <w:noWrap w:val="0"/>
                  <w:vAlign w:val="center"/>
                </w:tcPr>
                <w:p w14:paraId="0C84C70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声源控制措施</w:t>
                  </w:r>
                </w:p>
              </w:tc>
              <w:tc>
                <w:tcPr>
                  <w:tcW w:w="428" w:type="pct"/>
                  <w:vMerge w:val="restart"/>
                  <w:tcBorders>
                    <w:tl2br w:val="nil"/>
                    <w:tr2bl w:val="nil"/>
                  </w:tcBorders>
                  <w:noWrap w:val="0"/>
                  <w:vAlign w:val="center"/>
                </w:tcPr>
                <w:p w14:paraId="69D7CFD8">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运行时段</w:t>
                  </w:r>
                </w:p>
              </w:tc>
            </w:tr>
            <w:tr w14:paraId="57EE5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266" w:type="pct"/>
                  <w:vMerge w:val="continue"/>
                  <w:tcBorders>
                    <w:tl2br w:val="nil"/>
                    <w:tr2bl w:val="nil"/>
                  </w:tcBorders>
                  <w:shd w:val="clear" w:color="auto" w:fill="FFFFFF"/>
                  <w:noWrap w:val="0"/>
                  <w:vAlign w:val="center"/>
                </w:tcPr>
                <w:p w14:paraId="3F3921E1">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37" w:type="pct"/>
                  <w:vMerge w:val="continue"/>
                  <w:tcBorders>
                    <w:tl2br w:val="nil"/>
                    <w:tr2bl w:val="nil"/>
                  </w:tcBorders>
                  <w:shd w:val="clear" w:color="auto" w:fill="FFFFFF"/>
                  <w:noWrap w:val="0"/>
                  <w:vAlign w:val="center"/>
                </w:tcPr>
                <w:p w14:paraId="7CEA25D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266" w:type="pct"/>
                  <w:vMerge w:val="continue"/>
                  <w:tcBorders>
                    <w:tl2br w:val="nil"/>
                    <w:tr2bl w:val="nil"/>
                  </w:tcBorders>
                  <w:shd w:val="clear" w:color="auto" w:fill="FFFFFF"/>
                  <w:noWrap w:val="0"/>
                  <w:vAlign w:val="center"/>
                </w:tcPr>
                <w:p w14:paraId="65E80253">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328" w:type="pct"/>
                  <w:tcBorders>
                    <w:tl2br w:val="nil"/>
                    <w:tr2bl w:val="nil"/>
                  </w:tcBorders>
                  <w:shd w:val="clear" w:color="auto" w:fill="FFFFFF"/>
                  <w:noWrap w:val="0"/>
                  <w:vAlign w:val="center"/>
                </w:tcPr>
                <w:p w14:paraId="4FB4AC3B">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X</w:t>
                  </w:r>
                </w:p>
              </w:tc>
              <w:tc>
                <w:tcPr>
                  <w:tcW w:w="298" w:type="pct"/>
                  <w:tcBorders>
                    <w:tl2br w:val="nil"/>
                    <w:tr2bl w:val="nil"/>
                  </w:tcBorders>
                  <w:shd w:val="clear" w:color="auto" w:fill="FFFFFF"/>
                  <w:noWrap w:val="0"/>
                  <w:vAlign w:val="center"/>
                </w:tcPr>
                <w:p w14:paraId="195CE05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Y</w:t>
                  </w:r>
                </w:p>
              </w:tc>
              <w:tc>
                <w:tcPr>
                  <w:tcW w:w="252" w:type="pct"/>
                  <w:tcBorders>
                    <w:tl2br w:val="nil"/>
                    <w:tr2bl w:val="nil"/>
                  </w:tcBorders>
                  <w:shd w:val="clear" w:color="auto" w:fill="FFFFFF"/>
                  <w:noWrap w:val="0"/>
                  <w:vAlign w:val="center"/>
                </w:tcPr>
                <w:p w14:paraId="73CCC23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Z</w:t>
                  </w:r>
                </w:p>
              </w:tc>
              <w:tc>
                <w:tcPr>
                  <w:tcW w:w="1756" w:type="pct"/>
                  <w:tcBorders>
                    <w:tl2br w:val="nil"/>
                    <w:tr2bl w:val="nil"/>
                  </w:tcBorders>
                  <w:shd w:val="clear" w:color="auto" w:fill="FFFFFF"/>
                  <w:noWrap w:val="0"/>
                  <w:vAlign w:val="center"/>
                </w:tcPr>
                <w:p w14:paraId="29532B76">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声压级/dB</w:t>
                  </w:r>
                  <w:r>
                    <w:rPr>
                      <w:rFonts w:hint="eastAsia" w:ascii="Times New Roman" w:hAnsi="Times New Roman" w:eastAsia="宋体" w:cs="Times New Roman"/>
                      <w:color w:val="000000"/>
                      <w:kern w:val="0"/>
                      <w:sz w:val="20"/>
                      <w:szCs w:val="20"/>
                      <w:highlight w:val="none"/>
                      <w:lang w:val="en-US" w:eastAsia="zh-CN" w:bidi="ar"/>
                    </w:rPr>
                    <w:t>（</w:t>
                  </w:r>
                  <w:r>
                    <w:rPr>
                      <w:rFonts w:hint="default" w:ascii="Times New Roman" w:hAnsi="Times New Roman" w:eastAsia="宋体" w:cs="Times New Roman"/>
                      <w:color w:val="000000"/>
                      <w:kern w:val="0"/>
                      <w:sz w:val="20"/>
                      <w:szCs w:val="20"/>
                      <w:highlight w:val="none"/>
                      <w:lang w:val="en-US" w:eastAsia="zh-CN" w:bidi="ar"/>
                    </w:rPr>
                    <w:t>A</w:t>
                  </w:r>
                  <w:r>
                    <w:rPr>
                      <w:rFonts w:hint="eastAsia" w:ascii="Times New Roman" w:hAnsi="Times New Roman" w:eastAsia="宋体" w:cs="Times New Roman"/>
                      <w:color w:val="000000"/>
                      <w:kern w:val="0"/>
                      <w:sz w:val="20"/>
                      <w:szCs w:val="20"/>
                      <w:highlight w:val="none"/>
                      <w:lang w:val="en-US" w:eastAsia="zh-CN" w:bidi="ar"/>
                    </w:rPr>
                    <w:t>）</w:t>
                  </w:r>
                </w:p>
              </w:tc>
              <w:tc>
                <w:tcPr>
                  <w:tcW w:w="964" w:type="pct"/>
                  <w:vMerge w:val="continue"/>
                  <w:tcBorders>
                    <w:tl2br w:val="nil"/>
                    <w:tr2bl w:val="nil"/>
                  </w:tcBorders>
                  <w:shd w:val="clear" w:color="auto" w:fill="FFFFFF"/>
                  <w:noWrap w:val="0"/>
                  <w:vAlign w:val="center"/>
                </w:tcPr>
                <w:p w14:paraId="33F46504">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c>
                <w:tcPr>
                  <w:tcW w:w="428" w:type="pct"/>
                  <w:vMerge w:val="continue"/>
                  <w:tcBorders>
                    <w:tl2br w:val="nil"/>
                    <w:tr2bl w:val="nil"/>
                  </w:tcBorders>
                  <w:shd w:val="clear" w:color="auto" w:fill="FFFFFF"/>
                  <w:noWrap w:val="0"/>
                  <w:vAlign w:val="center"/>
                </w:tcPr>
                <w:p w14:paraId="525EC74A">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p>
              </w:tc>
            </w:tr>
            <w:tr w14:paraId="4FA3F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66" w:type="pct"/>
                  <w:tcBorders>
                    <w:tl2br w:val="nil"/>
                    <w:tr2bl w:val="nil"/>
                  </w:tcBorders>
                  <w:shd w:val="clear" w:color="auto" w:fill="FFFFFF"/>
                  <w:noWrap w:val="0"/>
                  <w:vAlign w:val="center"/>
                </w:tcPr>
                <w:p w14:paraId="1FE93F69">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1</w:t>
                  </w:r>
                </w:p>
              </w:tc>
              <w:tc>
                <w:tcPr>
                  <w:tcW w:w="437" w:type="pct"/>
                  <w:tcBorders>
                    <w:tl2br w:val="nil"/>
                    <w:tr2bl w:val="nil"/>
                  </w:tcBorders>
                  <w:shd w:val="clear" w:color="auto" w:fill="FFFFFF"/>
                  <w:noWrap w:val="0"/>
                  <w:vAlign w:val="center"/>
                </w:tcPr>
                <w:p w14:paraId="29DE73C7">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eastAsia" w:ascii="Times New Roman" w:hAnsi="Times New Roman" w:eastAsia="宋体" w:cs="Times New Roman"/>
                      <w:color w:val="000000"/>
                      <w:kern w:val="0"/>
                      <w:sz w:val="20"/>
                      <w:szCs w:val="20"/>
                      <w:highlight w:val="none"/>
                      <w:lang w:val="en-US" w:eastAsia="zh-CN" w:bidi="ar"/>
                    </w:rPr>
                    <w:t>风机</w:t>
                  </w:r>
                </w:p>
              </w:tc>
              <w:tc>
                <w:tcPr>
                  <w:tcW w:w="266" w:type="pct"/>
                  <w:tcBorders>
                    <w:tl2br w:val="nil"/>
                    <w:tr2bl w:val="nil"/>
                  </w:tcBorders>
                  <w:shd w:val="clear" w:color="auto" w:fill="FFFFFF"/>
                  <w:noWrap w:val="0"/>
                  <w:vAlign w:val="center"/>
                </w:tcPr>
                <w:p w14:paraId="4E0C3C0F">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w:t>
                  </w:r>
                </w:p>
              </w:tc>
              <w:tc>
                <w:tcPr>
                  <w:tcW w:w="328" w:type="pct"/>
                  <w:tcBorders>
                    <w:tl2br w:val="nil"/>
                    <w:tr2bl w:val="nil"/>
                  </w:tcBorders>
                  <w:shd w:val="clear" w:color="auto" w:fill="FFFFFF"/>
                  <w:noWrap w:val="0"/>
                  <w:vAlign w:val="center"/>
                </w:tcPr>
                <w:p w14:paraId="1F7EEF28">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eastAsia" w:ascii="Times New Roman" w:hAnsi="Times New Roman" w:eastAsia="等线" w:cs="Times New Roman"/>
                      <w:i w:val="0"/>
                      <w:iCs w:val="0"/>
                      <w:color w:val="000000"/>
                      <w:kern w:val="0"/>
                      <w:sz w:val="20"/>
                      <w:szCs w:val="20"/>
                      <w:highlight w:val="none"/>
                      <w:u w:val="none"/>
                      <w:lang w:val="en-US" w:eastAsia="zh-CN" w:bidi="ar"/>
                    </w:rPr>
                    <w:t>30</w:t>
                  </w:r>
                </w:p>
              </w:tc>
              <w:tc>
                <w:tcPr>
                  <w:tcW w:w="298" w:type="pct"/>
                  <w:tcBorders>
                    <w:tl2br w:val="nil"/>
                    <w:tr2bl w:val="nil"/>
                  </w:tcBorders>
                  <w:shd w:val="clear" w:color="auto" w:fill="FFFFFF"/>
                  <w:noWrap w:val="0"/>
                  <w:vAlign w:val="center"/>
                </w:tcPr>
                <w:p w14:paraId="43B4F30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eastAsia" w:ascii="Times New Roman" w:hAnsi="Times New Roman" w:eastAsia="等线" w:cs="Times New Roman"/>
                      <w:i w:val="0"/>
                      <w:iCs w:val="0"/>
                      <w:color w:val="000000"/>
                      <w:kern w:val="0"/>
                      <w:sz w:val="20"/>
                      <w:szCs w:val="20"/>
                      <w:highlight w:val="none"/>
                      <w:u w:val="none"/>
                      <w:lang w:val="en-US" w:eastAsia="zh-CN" w:bidi="ar"/>
                    </w:rPr>
                    <w:t>34</w:t>
                  </w:r>
                </w:p>
              </w:tc>
              <w:tc>
                <w:tcPr>
                  <w:tcW w:w="252" w:type="pct"/>
                  <w:tcBorders>
                    <w:tl2br w:val="nil"/>
                    <w:tr2bl w:val="nil"/>
                  </w:tcBorders>
                  <w:shd w:val="clear" w:color="auto" w:fill="FFFFFF"/>
                  <w:noWrap w:val="0"/>
                  <w:vAlign w:val="center"/>
                </w:tcPr>
                <w:p w14:paraId="2786D2A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eastAsia" w:ascii="Times New Roman" w:hAnsi="Times New Roman" w:eastAsia="等线" w:cs="Times New Roman"/>
                      <w:i w:val="0"/>
                      <w:iCs w:val="0"/>
                      <w:color w:val="000000"/>
                      <w:kern w:val="0"/>
                      <w:sz w:val="20"/>
                      <w:szCs w:val="20"/>
                      <w:highlight w:val="none"/>
                      <w:u w:val="none"/>
                      <w:lang w:val="en-US" w:eastAsia="zh-CN" w:bidi="ar"/>
                    </w:rPr>
                    <w:t>16</w:t>
                  </w:r>
                </w:p>
              </w:tc>
              <w:tc>
                <w:tcPr>
                  <w:tcW w:w="1756" w:type="pct"/>
                  <w:tcBorders>
                    <w:tl2br w:val="nil"/>
                    <w:tr2bl w:val="nil"/>
                  </w:tcBorders>
                  <w:shd w:val="clear" w:color="auto" w:fill="FFFFFF"/>
                  <w:noWrap w:val="0"/>
                  <w:vAlign w:val="center"/>
                </w:tcPr>
                <w:p w14:paraId="78F6C0DD">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90</w:t>
                  </w:r>
                </w:p>
              </w:tc>
              <w:tc>
                <w:tcPr>
                  <w:tcW w:w="964" w:type="pct"/>
                  <w:tcBorders>
                    <w:tl2br w:val="nil"/>
                    <w:tr2bl w:val="nil"/>
                  </w:tcBorders>
                  <w:shd w:val="clear" w:color="auto" w:fill="FFFFFF"/>
                  <w:noWrap w:val="0"/>
                  <w:vAlign w:val="center"/>
                </w:tcPr>
                <w:p w14:paraId="56F61DA0">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隔声</w:t>
                  </w:r>
                </w:p>
              </w:tc>
              <w:tc>
                <w:tcPr>
                  <w:tcW w:w="428" w:type="pct"/>
                  <w:tcBorders>
                    <w:tl2br w:val="nil"/>
                    <w:tr2bl w:val="nil"/>
                  </w:tcBorders>
                  <w:shd w:val="clear" w:color="auto" w:fill="FFFFFF"/>
                  <w:noWrap w:val="0"/>
                  <w:vAlign w:val="center"/>
                </w:tcPr>
                <w:p w14:paraId="374F6625">
                  <w:pPr>
                    <w:widowControl/>
                    <w:jc w:val="center"/>
                    <w:textAlignment w:val="center"/>
                    <w:rPr>
                      <w:rFonts w:hint="default" w:ascii="Times New Roman" w:hAnsi="Times New Roman" w:eastAsia="宋体" w:cs="Times New Roman"/>
                      <w:color w:val="000000"/>
                      <w:kern w:val="0"/>
                      <w:sz w:val="20"/>
                      <w:szCs w:val="20"/>
                      <w:highlight w:val="none"/>
                      <w:lang w:val="en-US" w:eastAsia="zh-CN" w:bidi="ar"/>
                    </w:rPr>
                  </w:pPr>
                  <w:r>
                    <w:rPr>
                      <w:rFonts w:hint="default" w:ascii="Times New Roman" w:hAnsi="Times New Roman" w:eastAsia="宋体" w:cs="Times New Roman"/>
                      <w:color w:val="000000"/>
                      <w:kern w:val="0"/>
                      <w:sz w:val="20"/>
                      <w:szCs w:val="20"/>
                      <w:highlight w:val="none"/>
                      <w:lang w:val="en-US" w:eastAsia="zh-CN" w:bidi="ar"/>
                    </w:rPr>
                    <w:t>8h</w:t>
                  </w:r>
                </w:p>
              </w:tc>
            </w:tr>
            <w:bookmarkEnd w:id="10"/>
          </w:tbl>
          <w:p w14:paraId="34FDBA15">
            <w:pPr>
              <w:spacing w:line="360" w:lineRule="auto"/>
              <w:rPr>
                <w:rFonts w:hint="default" w:ascii="Times New Roman" w:hAnsi="Times New Roman" w:cs="Times New Roman"/>
                <w:bCs/>
                <w:spacing w:val="-10"/>
                <w:szCs w:val="21"/>
                <w:highlight w:val="none"/>
              </w:rPr>
            </w:pPr>
          </w:p>
          <w:p w14:paraId="58CD609F">
            <w:pPr>
              <w:spacing w:line="360" w:lineRule="auto"/>
              <w:rPr>
                <w:rFonts w:hint="default" w:ascii="Times New Roman" w:hAnsi="Times New Roman" w:cs="Times New Roman"/>
                <w:bCs/>
                <w:spacing w:val="-10"/>
                <w:szCs w:val="21"/>
                <w:highlight w:val="none"/>
              </w:rPr>
            </w:pPr>
          </w:p>
          <w:p w14:paraId="3A2EE834">
            <w:pPr>
              <w:spacing w:line="360" w:lineRule="auto"/>
              <w:rPr>
                <w:rFonts w:hint="default" w:ascii="Times New Roman" w:hAnsi="Times New Roman" w:cs="Times New Roman"/>
                <w:bCs/>
                <w:spacing w:val="-10"/>
                <w:szCs w:val="21"/>
                <w:highlight w:val="none"/>
              </w:rPr>
            </w:pPr>
          </w:p>
          <w:p w14:paraId="4AA69B53">
            <w:pPr>
              <w:spacing w:line="360" w:lineRule="auto"/>
              <w:rPr>
                <w:rFonts w:hint="default" w:ascii="Times New Roman" w:hAnsi="Times New Roman" w:eastAsia="宋体" w:cs="Times New Roman"/>
                <w:bCs/>
                <w:spacing w:val="-10"/>
                <w:szCs w:val="21"/>
                <w:highlight w:val="none"/>
                <w:lang w:eastAsia="zh-CN"/>
              </w:rPr>
            </w:pPr>
          </w:p>
          <w:p w14:paraId="703F0F91">
            <w:pPr>
              <w:spacing w:line="360" w:lineRule="auto"/>
              <w:rPr>
                <w:rFonts w:hint="default" w:ascii="Times New Roman" w:hAnsi="Times New Roman" w:cs="Times New Roman"/>
                <w:bCs/>
                <w:spacing w:val="-10"/>
                <w:szCs w:val="21"/>
                <w:highlight w:val="none"/>
              </w:rPr>
            </w:pPr>
          </w:p>
          <w:p w14:paraId="39A5C64B">
            <w:pPr>
              <w:spacing w:line="360" w:lineRule="auto"/>
              <w:rPr>
                <w:rFonts w:hint="default" w:ascii="Times New Roman" w:hAnsi="Times New Roman" w:cs="Times New Roman"/>
                <w:bCs/>
                <w:spacing w:val="-10"/>
                <w:szCs w:val="21"/>
                <w:highlight w:val="none"/>
              </w:rPr>
            </w:pPr>
          </w:p>
          <w:p w14:paraId="0BCE0408">
            <w:pPr>
              <w:spacing w:line="360" w:lineRule="auto"/>
              <w:rPr>
                <w:rFonts w:hint="default" w:ascii="Times New Roman" w:hAnsi="Times New Roman" w:cs="Times New Roman"/>
                <w:bCs/>
                <w:spacing w:val="-10"/>
                <w:szCs w:val="21"/>
                <w:highlight w:val="none"/>
              </w:rPr>
            </w:pPr>
          </w:p>
          <w:p w14:paraId="5EA1B069">
            <w:pPr>
              <w:spacing w:line="360" w:lineRule="auto"/>
              <w:rPr>
                <w:rFonts w:hint="default" w:ascii="Times New Roman" w:hAnsi="Times New Roman" w:cs="Times New Roman"/>
                <w:bCs/>
                <w:spacing w:val="-10"/>
                <w:szCs w:val="21"/>
                <w:highlight w:val="none"/>
              </w:rPr>
            </w:pPr>
          </w:p>
          <w:p w14:paraId="51010030">
            <w:pPr>
              <w:spacing w:line="360" w:lineRule="auto"/>
              <w:rPr>
                <w:rFonts w:hint="default" w:ascii="Times New Roman" w:hAnsi="Times New Roman" w:cs="Times New Roman"/>
                <w:bCs/>
                <w:spacing w:val="-10"/>
                <w:szCs w:val="21"/>
                <w:highlight w:val="none"/>
              </w:rPr>
            </w:pPr>
          </w:p>
          <w:p w14:paraId="7E2AE58C">
            <w:pPr>
              <w:spacing w:line="360" w:lineRule="auto"/>
              <w:rPr>
                <w:rFonts w:hint="default" w:ascii="Times New Roman" w:hAnsi="Times New Roman" w:cs="Times New Roman"/>
                <w:bCs/>
                <w:spacing w:val="-10"/>
                <w:szCs w:val="21"/>
                <w:highlight w:val="none"/>
              </w:rPr>
            </w:pPr>
          </w:p>
        </w:tc>
      </w:tr>
    </w:tbl>
    <w:p w14:paraId="338B55BD">
      <w:pPr>
        <w:rPr>
          <w:rFonts w:ascii="Arial"/>
          <w:sz w:val="21"/>
          <w:highlight w:val="none"/>
        </w:rPr>
      </w:pPr>
    </w:p>
    <w:p w14:paraId="32376E7D">
      <w:pPr>
        <w:rPr>
          <w:rFonts w:ascii="Arial"/>
          <w:sz w:val="21"/>
          <w:highlight w:val="none"/>
        </w:rPr>
        <w:sectPr>
          <w:footerReference r:id="rId8" w:type="default"/>
          <w:pgSz w:w="16839" w:h="11906" w:orient="landscape"/>
          <w:pgMar w:top="1539" w:right="1431" w:bottom="1543" w:left="957" w:header="0" w:footer="692" w:gutter="0"/>
          <w:pgBorders>
            <w:top w:val="none" w:sz="0" w:space="0"/>
            <w:left w:val="none" w:sz="0" w:space="0"/>
            <w:bottom w:val="none" w:sz="0" w:space="0"/>
            <w:right w:val="none" w:sz="0" w:space="0"/>
          </w:pgBorders>
          <w:pgNumType w:fmt="decimal"/>
          <w:cols w:space="720" w:num="1"/>
        </w:sectPr>
      </w:pPr>
    </w:p>
    <w:tbl>
      <w:tblPr>
        <w:tblStyle w:val="17"/>
        <w:tblpPr w:leftFromText="180" w:rightFromText="180" w:vertAnchor="text" w:horzAnchor="page" w:tblpX="1632" w:tblpY="-22"/>
        <w:tblOverlap w:val="never"/>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276"/>
      </w:tblGrid>
      <w:tr w14:paraId="3D6C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509" w:type="dxa"/>
            <w:noWrap w:val="0"/>
            <w:vAlign w:val="center"/>
          </w:tcPr>
          <w:p w14:paraId="4D88CAAD">
            <w:pPr>
              <w:pStyle w:val="12"/>
              <w:pBdr>
                <w:bottom w:val="none" w:color="auto" w:sz="0" w:space="0"/>
              </w:pBdr>
              <w:jc w:val="both"/>
              <w:rPr>
                <w:b/>
                <w:bCs/>
                <w:color w:val="000000"/>
                <w:sz w:val="24"/>
                <w:szCs w:val="24"/>
                <w:highlight w:val="none"/>
              </w:rPr>
            </w:pPr>
          </w:p>
        </w:tc>
        <w:tc>
          <w:tcPr>
            <w:tcW w:w="8276" w:type="dxa"/>
            <w:noWrap w:val="0"/>
            <w:vAlign w:val="top"/>
          </w:tcPr>
          <w:p w14:paraId="4ED0AA49">
            <w:pPr>
              <w:adjustRightInd w:val="0"/>
              <w:snapToGrid w:val="0"/>
              <w:spacing w:before="120" w:beforeLines="50" w:line="360" w:lineRule="auto"/>
              <w:rPr>
                <w:rFonts w:hint="default" w:ascii="Times New Roman" w:hAnsi="Times New Roman" w:cs="Times New Roman"/>
                <w:b/>
                <w:bCs/>
                <w:color w:val="000000"/>
                <w:kern w:val="0"/>
                <w:sz w:val="24"/>
                <w:highlight w:val="none"/>
              </w:rPr>
            </w:pPr>
            <w:r>
              <w:rPr>
                <w:rFonts w:hint="default" w:ascii="Times New Roman" w:hAnsi="Times New Roman" w:cs="Times New Roman"/>
                <w:b/>
                <w:bCs/>
                <w:color w:val="000000"/>
                <w:kern w:val="0"/>
                <w:sz w:val="24"/>
                <w:highlight w:val="none"/>
              </w:rPr>
              <w:t>4.</w:t>
            </w:r>
            <w:r>
              <w:rPr>
                <w:rFonts w:hint="eastAsia" w:ascii="Times New Roman" w:hAnsi="Times New Roman" w:eastAsia="宋体" w:cs="Times New Roman"/>
                <w:b/>
                <w:bCs/>
                <w:color w:val="000000"/>
                <w:kern w:val="0"/>
                <w:sz w:val="24"/>
                <w:highlight w:val="none"/>
                <w:lang w:val="en-US" w:eastAsia="zh-CN"/>
              </w:rPr>
              <w:t>3</w:t>
            </w:r>
            <w:r>
              <w:rPr>
                <w:rFonts w:hint="default" w:ascii="Times New Roman" w:hAnsi="Times New Roman" w:cs="Times New Roman"/>
                <w:b/>
                <w:bCs/>
                <w:color w:val="000000"/>
                <w:kern w:val="0"/>
                <w:sz w:val="24"/>
                <w:highlight w:val="none"/>
              </w:rPr>
              <w:t>.2运营期声环境影响分析</w:t>
            </w:r>
          </w:p>
          <w:p w14:paraId="418CC3E8">
            <w:pPr>
              <w:pStyle w:val="35"/>
              <w:adjustRightInd/>
              <w:spacing w:line="360" w:lineRule="auto"/>
              <w:ind w:firstLine="480" w:firstLineChars="2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为分析本项目噪声对厂界声环境的影响，本次评价采用《环境影响评价技术导则 声环境》</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（HJ 2.4-2021）</w:t>
            </w:r>
            <w:r>
              <w:rPr>
                <w:rFonts w:hint="default" w:ascii="Times New Roman" w:hAnsi="Times New Roman" w:cs="Times New Roman"/>
                <w:color w:val="000000" w:themeColor="text1"/>
                <w:szCs w:val="24"/>
                <w:highlight w:val="none"/>
                <w14:textFill>
                  <w14:solidFill>
                    <w14:schemeClr w14:val="tx1"/>
                  </w14:solidFill>
                </w14:textFill>
              </w:rPr>
              <w:t>中的工业噪声预测计算模式。</w:t>
            </w:r>
          </w:p>
          <w:p w14:paraId="50446DA0">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①室外声源</w:t>
            </w:r>
          </w:p>
          <w:p w14:paraId="6C2E84DD">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工业噪声源按点声源处理，声源处于半自由场，室外声源的预测模式为：</w:t>
            </w:r>
          </w:p>
          <w:p w14:paraId="4FAC0826">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Para>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A</m:t>
                    </m:r>
                    <m:ctrlPr>
                      <w:rPr>
                        <w:rFonts w:hint="default" w:ascii="Cambria Math" w:hAnsi="Cambria Math" w:cs="Times New Roman"/>
                        <w:i/>
                        <w:color w:val="000000" w:themeColor="text1"/>
                        <w:szCs w:val="24"/>
                        <w:highlight w:val="none"/>
                        <w14:textFill>
                          <w14:solidFill>
                            <w14:schemeClr w14:val="tx1"/>
                          </w14:solidFill>
                        </w14:textFill>
                      </w:rPr>
                    </m:ctrlPr>
                  </m:sub>
                </m:sSub>
                <m:d>
                  <m:dPr>
                    <m:ctrlPr>
                      <w:rPr>
                        <w:rFonts w:hint="default" w:ascii="Cambria Math" w:hAnsi="Cambria Math" w:cs="Times New Roman"/>
                        <w:i/>
                        <w:color w:val="000000" w:themeColor="text1"/>
                        <w:szCs w:val="24"/>
                        <w:highlight w:val="none"/>
                        <w14:textFill>
                          <w14:solidFill>
                            <w14:schemeClr w14:val="tx1"/>
                          </w14:solidFill>
                        </w14:textFill>
                      </w:rPr>
                    </m:ctrlPr>
                  </m:dPr>
                  <m:e>
                    <m:r>
                      <m:rPr/>
                      <w:rPr>
                        <w:rFonts w:hint="default" w:ascii="Cambria Math" w:hAnsi="Cambria Math" w:cs="Times New Roman"/>
                        <w:color w:val="000000" w:themeColor="text1"/>
                        <w:szCs w:val="24"/>
                        <w:highlight w:val="none"/>
                        <w14:textFill>
                          <w14:solidFill>
                            <w14:schemeClr w14:val="tx1"/>
                          </w14:solidFill>
                        </w14:textFill>
                      </w:rPr>
                      <m:t>r</m:t>
                    </m:r>
                    <m:ctrlPr>
                      <w:rPr>
                        <w:rFonts w:hint="default" w:ascii="Cambria Math" w:hAnsi="Cambria Math" w:cs="Times New Roman"/>
                        <w:i/>
                        <w:color w:val="000000" w:themeColor="text1"/>
                        <w:szCs w:val="24"/>
                        <w:highlight w:val="none"/>
                        <w14:textFill>
                          <w14:solidFill>
                            <w14:schemeClr w14:val="tx1"/>
                          </w14:solidFill>
                        </w14:textFill>
                      </w:rPr>
                    </m:ctrlPr>
                  </m:e>
                </m:d>
                <m:r>
                  <m:rPr/>
                  <w:rPr>
                    <w:rFonts w:hint="default" w:ascii="Cambria Math" w:hAnsi="Cambria Math" w:cs="Times New Roman"/>
                    <w:color w:val="000000" w:themeColor="text1"/>
                    <w:szCs w:val="24"/>
                    <w:highlight w:val="none"/>
                    <w14:textFill>
                      <w14:solidFill>
                        <w14:schemeClr w14:val="tx1"/>
                      </w14:solidFill>
                    </w14:textFill>
                  </w:rPr>
                  <m:t>=</m:t>
                </m:r>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AW</m:t>
                    </m:r>
                    <m:ctrlPr>
                      <w:rPr>
                        <w:rFonts w:hint="default" w:ascii="Cambria Math" w:hAnsi="Cambria Math" w:cs="Times New Roman"/>
                        <w:i/>
                        <w:color w:val="000000" w:themeColor="text1"/>
                        <w:szCs w:val="24"/>
                        <w:highlight w:val="none"/>
                        <w14:textFill>
                          <w14:solidFill>
                            <w14:schemeClr w14:val="tx1"/>
                          </w14:solidFill>
                        </w14:textFill>
                      </w:rPr>
                    </m:ctrlPr>
                  </m:sub>
                </m:sSub>
                <m:r>
                  <m:rPr/>
                  <w:rPr>
                    <w:rFonts w:hint="default" w:ascii="Cambria Math" w:hAnsi="Cambria Math" w:cs="Times New Roman"/>
                    <w:color w:val="000000" w:themeColor="text1"/>
                    <w:szCs w:val="24"/>
                    <w:highlight w:val="none"/>
                    <w14:textFill>
                      <w14:solidFill>
                        <w14:schemeClr w14:val="tx1"/>
                      </w14:solidFill>
                    </w14:textFill>
                  </w:rPr>
                  <m:t>−20lgr−8</m:t>
                </m:r>
              </m:oMath>
            </m:oMathPara>
          </w:p>
          <w:p w14:paraId="15C16902">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式中：</w:t>
            </w: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A</m:t>
                  </m:r>
                  <m:ctrlPr>
                    <w:rPr>
                      <w:rFonts w:hint="default" w:ascii="Cambria Math" w:hAnsi="Cambria Math" w:cs="Times New Roman"/>
                      <w:i/>
                      <w:color w:val="000000" w:themeColor="text1"/>
                      <w:szCs w:val="24"/>
                      <w:highlight w:val="none"/>
                      <w14:textFill>
                        <w14:solidFill>
                          <w14:schemeClr w14:val="tx1"/>
                        </w14:solidFill>
                      </w14:textFill>
                    </w:rPr>
                  </m:ctrlPr>
                </m:sub>
              </m:sSub>
              <m:d>
                <m:dPr>
                  <m:ctrlPr>
                    <w:rPr>
                      <w:rFonts w:hint="default" w:ascii="Cambria Math" w:hAnsi="Cambria Math" w:cs="Times New Roman"/>
                      <w:i/>
                      <w:color w:val="000000" w:themeColor="text1"/>
                      <w:szCs w:val="24"/>
                      <w:highlight w:val="none"/>
                      <w14:textFill>
                        <w14:solidFill>
                          <w14:schemeClr w14:val="tx1"/>
                        </w14:solidFill>
                      </w14:textFill>
                    </w:rPr>
                  </m:ctrlPr>
                </m:dPr>
                <m:e>
                  <m:r>
                    <m:rPr/>
                    <w:rPr>
                      <w:rFonts w:hint="default" w:ascii="Cambria Math" w:hAnsi="Cambria Math" w:cs="Times New Roman"/>
                      <w:color w:val="000000" w:themeColor="text1"/>
                      <w:szCs w:val="24"/>
                      <w:highlight w:val="none"/>
                      <w14:textFill>
                        <w14:solidFill>
                          <w14:schemeClr w14:val="tx1"/>
                        </w14:solidFill>
                      </w14:textFill>
                    </w:rPr>
                    <m:t>r</m:t>
                  </m:r>
                  <m:ctrlPr>
                    <w:rPr>
                      <w:rFonts w:hint="default" w:ascii="Cambria Math" w:hAnsi="Cambria Math" w:cs="Times New Roman"/>
                      <w:i/>
                      <w:color w:val="000000" w:themeColor="text1"/>
                      <w:szCs w:val="24"/>
                      <w:highlight w:val="none"/>
                      <w14:textFill>
                        <w14:solidFill>
                          <w14:schemeClr w14:val="tx1"/>
                        </w14:solidFill>
                      </w14:textFill>
                    </w:rPr>
                  </m:ctrlPr>
                </m:e>
              </m:d>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距声源r处的A声级，dB</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A</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w:t>
            </w:r>
          </w:p>
          <w:p w14:paraId="37E624FA">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AW</m:t>
                  </m:r>
                  <m:ctrlPr>
                    <w:rPr>
                      <w:rFonts w:hint="default" w:ascii="Cambria Math" w:hAnsi="Cambria Math" w:cs="Times New Roman"/>
                      <w:i/>
                      <w:color w:val="000000" w:themeColor="text1"/>
                      <w:szCs w:val="24"/>
                      <w:highlight w:val="none"/>
                      <w14:textFill>
                        <w14:solidFill>
                          <w14:schemeClr w14:val="tx1"/>
                        </w14:solidFill>
                      </w14:textFill>
                    </w:rPr>
                  </m:ctrlPr>
                </m:sub>
              </m:sSub>
            </m:oMath>
            <w:r>
              <w:rPr>
                <w:rFonts w:hint="default" w:ascii="Times New Roman" w:hAnsi="Times New Roman" w:cs="Times New Roman"/>
                <w:color w:val="000000" w:themeColor="text1"/>
                <w:szCs w:val="24"/>
                <w:highlight w:val="none"/>
                <w14:textFill>
                  <w14:solidFill>
                    <w14:schemeClr w14:val="tx1"/>
                  </w14:solidFill>
                </w14:textFill>
              </w:rPr>
              <w:t>-点声源A计权声功率级。</w:t>
            </w:r>
          </w:p>
          <w:p w14:paraId="13256DF4">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②室内声源</w:t>
            </w:r>
          </w:p>
          <w:p w14:paraId="1DF7E908">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A</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如下图所示，首先计算出某个室内靠近围护结构处的倍频带声压级；</w:t>
            </w:r>
          </w:p>
          <w:p w14:paraId="4AB3A502">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Para>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p1</m:t>
                    </m:r>
                    <m:ctrlPr>
                      <w:rPr>
                        <w:rFonts w:hint="default" w:ascii="Cambria Math" w:hAnsi="Cambria Math" w:cs="Times New Roman"/>
                        <w:i/>
                        <w:color w:val="000000" w:themeColor="text1"/>
                        <w:szCs w:val="24"/>
                        <w:highlight w:val="none"/>
                        <w14:textFill>
                          <w14:solidFill>
                            <w14:schemeClr w14:val="tx1"/>
                          </w14:solidFill>
                        </w14:textFill>
                      </w:rPr>
                    </m:ctrlPr>
                  </m:sub>
                </m:sSub>
                <m:r>
                  <m:rPr/>
                  <w:rPr>
                    <w:rFonts w:hint="default" w:ascii="Cambria Math" w:hAnsi="Cambria Math" w:cs="Times New Roman"/>
                    <w:color w:val="000000" w:themeColor="text1"/>
                    <w:szCs w:val="24"/>
                    <w:highlight w:val="none"/>
                    <w14:textFill>
                      <w14:solidFill>
                        <w14:schemeClr w14:val="tx1"/>
                      </w14:solidFill>
                    </w14:textFill>
                  </w:rPr>
                  <m:t>=</m:t>
                </m:r>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W</m:t>
                    </m:r>
                    <m:ctrlPr>
                      <w:rPr>
                        <w:rFonts w:hint="default" w:ascii="Cambria Math" w:hAnsi="Cambria Math" w:cs="Times New Roman"/>
                        <w:i/>
                        <w:color w:val="000000" w:themeColor="text1"/>
                        <w:szCs w:val="24"/>
                        <w:highlight w:val="none"/>
                        <w14:textFill>
                          <w14:solidFill>
                            <w14:schemeClr w14:val="tx1"/>
                          </w14:solidFill>
                        </w14:textFill>
                      </w:rPr>
                    </m:ctrlPr>
                  </m:sub>
                </m:sSub>
                <m:r>
                  <m:rPr/>
                  <w:rPr>
                    <w:rFonts w:hint="default" w:ascii="Cambria Math" w:hAnsi="Cambria Math" w:cs="Times New Roman"/>
                    <w:color w:val="000000" w:themeColor="text1"/>
                    <w:szCs w:val="24"/>
                    <w:highlight w:val="none"/>
                    <w14:textFill>
                      <w14:solidFill>
                        <w14:schemeClr w14:val="tx1"/>
                      </w14:solidFill>
                    </w14:textFill>
                  </w:rPr>
                  <m:t>+10lg</m:t>
                </m:r>
                <m:d>
                  <m:dPr>
                    <m:ctrlPr>
                      <w:rPr>
                        <w:rFonts w:hint="default" w:ascii="Cambria Math" w:hAnsi="Cambria Math" w:cs="Times New Roman"/>
                        <w:i/>
                        <w:color w:val="000000" w:themeColor="text1"/>
                        <w:szCs w:val="24"/>
                        <w:highlight w:val="none"/>
                        <w14:textFill>
                          <w14:solidFill>
                            <w14:schemeClr w14:val="tx1"/>
                          </w14:solidFill>
                        </w14:textFill>
                      </w:rPr>
                    </m:ctrlPr>
                  </m:dPr>
                  <m:e>
                    <m:f>
                      <m:fPr>
                        <m:ctrlPr>
                          <w:rPr>
                            <w:rFonts w:hint="default" w:ascii="Cambria Math" w:hAnsi="Cambria Math" w:cs="Times New Roman"/>
                            <w:i/>
                            <w:color w:val="000000" w:themeColor="text1"/>
                            <w:szCs w:val="24"/>
                            <w:highlight w:val="none"/>
                            <w14:textFill>
                              <w14:solidFill>
                                <w14:schemeClr w14:val="tx1"/>
                              </w14:solidFill>
                            </w14:textFill>
                          </w:rPr>
                        </m:ctrlPr>
                      </m:fPr>
                      <m:num>
                        <m:r>
                          <m:rPr/>
                          <w:rPr>
                            <w:rFonts w:hint="default" w:ascii="Cambria Math" w:hAnsi="Cambria Math" w:cs="Times New Roman"/>
                            <w:color w:val="000000" w:themeColor="text1"/>
                            <w:szCs w:val="24"/>
                            <w:highlight w:val="none"/>
                            <w14:textFill>
                              <w14:solidFill>
                                <w14:schemeClr w14:val="tx1"/>
                              </w14:solidFill>
                            </w14:textFill>
                          </w:rPr>
                          <m:t>Q</m:t>
                        </m:r>
                        <m:ctrlPr>
                          <w:rPr>
                            <w:rFonts w:hint="default" w:ascii="Cambria Math" w:hAnsi="Cambria Math" w:cs="Times New Roman"/>
                            <w:i/>
                            <w:color w:val="000000" w:themeColor="text1"/>
                            <w:szCs w:val="24"/>
                            <w:highlight w:val="none"/>
                            <w14:textFill>
                              <w14:solidFill>
                                <w14:schemeClr w14:val="tx1"/>
                              </w14:solidFill>
                            </w14:textFill>
                          </w:rPr>
                        </m:ctrlPr>
                      </m:num>
                      <m:den>
                        <m:r>
                          <m:rPr/>
                          <w:rPr>
                            <w:rFonts w:hint="default" w:ascii="Cambria Math" w:hAnsi="Cambria Math" w:cs="Times New Roman"/>
                            <w:color w:val="000000" w:themeColor="text1"/>
                            <w:szCs w:val="24"/>
                            <w:highlight w:val="none"/>
                            <w14:textFill>
                              <w14:solidFill>
                                <w14:schemeClr w14:val="tx1"/>
                              </w14:solidFill>
                            </w14:textFill>
                          </w:rPr>
                          <m:t>4π</m:t>
                        </m:r>
                        <m:sSup>
                          <m:sSupPr>
                            <m:ctrlPr>
                              <w:rPr>
                                <w:rFonts w:hint="default" w:ascii="Cambria Math" w:hAnsi="Cambria Math" w:cs="Times New Roman"/>
                                <w:i/>
                                <w:color w:val="000000" w:themeColor="text1"/>
                                <w:szCs w:val="24"/>
                                <w:highlight w:val="none"/>
                                <w14:textFill>
                                  <w14:solidFill>
                                    <w14:schemeClr w14:val="tx1"/>
                                  </w14:solidFill>
                                </w14:textFill>
                              </w:rPr>
                            </m:ctrlPr>
                          </m:sSupPr>
                          <m:e>
                            <m:r>
                              <m:rPr/>
                              <w:rPr>
                                <w:rFonts w:hint="default" w:ascii="Cambria Math" w:hAnsi="Cambria Math" w:cs="Times New Roman"/>
                                <w:color w:val="000000" w:themeColor="text1"/>
                                <w:szCs w:val="24"/>
                                <w:highlight w:val="none"/>
                                <w14:textFill>
                                  <w14:solidFill>
                                    <w14:schemeClr w14:val="tx1"/>
                                  </w14:solidFill>
                                </w14:textFill>
                              </w:rPr>
                              <m:t>r</m:t>
                            </m:r>
                            <m:ctrlPr>
                              <w:rPr>
                                <w:rFonts w:hint="default" w:ascii="Cambria Math" w:hAnsi="Cambria Math" w:cs="Times New Roman"/>
                                <w:i/>
                                <w:color w:val="000000" w:themeColor="text1"/>
                                <w:szCs w:val="24"/>
                                <w:highlight w:val="none"/>
                                <w14:textFill>
                                  <w14:solidFill>
                                    <w14:schemeClr w14:val="tx1"/>
                                  </w14:solidFill>
                                </w14:textFill>
                              </w:rPr>
                            </m:ctrlPr>
                          </m:e>
                          <m:sup>
                            <m:r>
                              <m:rPr/>
                              <w:rPr>
                                <w:rFonts w:hint="default" w:ascii="Cambria Math" w:hAnsi="Cambria Math" w:cs="Times New Roman"/>
                                <w:color w:val="000000" w:themeColor="text1"/>
                                <w:szCs w:val="24"/>
                                <w:highlight w:val="none"/>
                                <w14:textFill>
                                  <w14:solidFill>
                                    <w14:schemeClr w14:val="tx1"/>
                                  </w14:solidFill>
                                </w14:textFill>
                              </w:rPr>
                              <m:t>2</m:t>
                            </m:r>
                            <m:ctrlPr>
                              <w:rPr>
                                <w:rFonts w:hint="default" w:ascii="Cambria Math" w:hAnsi="Cambria Math" w:cs="Times New Roman"/>
                                <w:i/>
                                <w:color w:val="000000" w:themeColor="text1"/>
                                <w:szCs w:val="24"/>
                                <w:highlight w:val="none"/>
                                <w14:textFill>
                                  <w14:solidFill>
                                    <w14:schemeClr w14:val="tx1"/>
                                  </w14:solidFill>
                                </w14:textFill>
                              </w:rPr>
                            </m:ctrlPr>
                          </m:sup>
                        </m:sSup>
                        <m:ctrlPr>
                          <w:rPr>
                            <w:rFonts w:hint="default" w:ascii="Cambria Math" w:hAnsi="Cambria Math" w:cs="Times New Roman"/>
                            <w:i/>
                            <w:color w:val="000000" w:themeColor="text1"/>
                            <w:szCs w:val="24"/>
                            <w:highlight w:val="none"/>
                            <w14:textFill>
                              <w14:solidFill>
                                <w14:schemeClr w14:val="tx1"/>
                              </w14:solidFill>
                            </w14:textFill>
                          </w:rPr>
                        </m:ctrlPr>
                      </m:den>
                    </m:f>
                    <m:r>
                      <m:rPr/>
                      <w:rPr>
                        <w:rFonts w:hint="default" w:ascii="Cambria Math" w:hAnsi="Cambria Math" w:cs="Times New Roman"/>
                        <w:color w:val="000000" w:themeColor="text1"/>
                        <w:szCs w:val="24"/>
                        <w:highlight w:val="none"/>
                        <w14:textFill>
                          <w14:solidFill>
                            <w14:schemeClr w14:val="tx1"/>
                          </w14:solidFill>
                        </w14:textFill>
                      </w:rPr>
                      <m:t>+</m:t>
                    </m:r>
                    <m:f>
                      <m:fPr>
                        <m:ctrlPr>
                          <w:rPr>
                            <w:rFonts w:hint="default" w:ascii="Cambria Math" w:hAnsi="Cambria Math" w:cs="Times New Roman"/>
                            <w:i/>
                            <w:color w:val="000000" w:themeColor="text1"/>
                            <w:szCs w:val="24"/>
                            <w:highlight w:val="none"/>
                            <w14:textFill>
                              <w14:solidFill>
                                <w14:schemeClr w14:val="tx1"/>
                              </w14:solidFill>
                            </w14:textFill>
                          </w:rPr>
                        </m:ctrlPr>
                      </m:fPr>
                      <m:num>
                        <m:r>
                          <m:rPr/>
                          <w:rPr>
                            <w:rFonts w:hint="default" w:ascii="Cambria Math" w:hAnsi="Cambria Math" w:cs="Times New Roman"/>
                            <w:color w:val="000000" w:themeColor="text1"/>
                            <w:szCs w:val="24"/>
                            <w:highlight w:val="none"/>
                            <w14:textFill>
                              <w14:solidFill>
                                <w14:schemeClr w14:val="tx1"/>
                              </w14:solidFill>
                            </w14:textFill>
                          </w:rPr>
                          <m:t>4</m:t>
                        </m:r>
                        <m:ctrlPr>
                          <w:rPr>
                            <w:rFonts w:hint="default" w:ascii="Cambria Math" w:hAnsi="Cambria Math" w:cs="Times New Roman"/>
                            <w:i/>
                            <w:color w:val="000000" w:themeColor="text1"/>
                            <w:szCs w:val="24"/>
                            <w:highlight w:val="none"/>
                            <w14:textFill>
                              <w14:solidFill>
                                <w14:schemeClr w14:val="tx1"/>
                              </w14:solidFill>
                            </w14:textFill>
                          </w:rPr>
                        </m:ctrlPr>
                      </m:num>
                      <m:den>
                        <m:r>
                          <m:rPr/>
                          <w:rPr>
                            <w:rFonts w:hint="default" w:ascii="Cambria Math" w:hAnsi="Cambria Math" w:cs="Times New Roman"/>
                            <w:color w:val="000000" w:themeColor="text1"/>
                            <w:szCs w:val="24"/>
                            <w:highlight w:val="none"/>
                            <w14:textFill>
                              <w14:solidFill>
                                <w14:schemeClr w14:val="tx1"/>
                              </w14:solidFill>
                            </w14:textFill>
                          </w:rPr>
                          <m:t>R</m:t>
                        </m:r>
                        <m:ctrlPr>
                          <w:rPr>
                            <w:rFonts w:hint="default" w:ascii="Cambria Math" w:hAnsi="Cambria Math" w:cs="Times New Roman"/>
                            <w:i/>
                            <w:color w:val="000000" w:themeColor="text1"/>
                            <w:szCs w:val="24"/>
                            <w:highlight w:val="none"/>
                            <w14:textFill>
                              <w14:solidFill>
                                <w14:schemeClr w14:val="tx1"/>
                              </w14:solidFill>
                            </w14:textFill>
                          </w:rPr>
                        </m:ctrlPr>
                      </m:den>
                    </m:f>
                    <m:ctrlPr>
                      <w:rPr>
                        <w:rFonts w:hint="default" w:ascii="Cambria Math" w:hAnsi="Cambria Math" w:cs="Times New Roman"/>
                        <w:i/>
                        <w:color w:val="000000" w:themeColor="text1"/>
                        <w:szCs w:val="24"/>
                        <w:highlight w:val="none"/>
                        <w14:textFill>
                          <w14:solidFill>
                            <w14:schemeClr w14:val="tx1"/>
                          </w14:solidFill>
                        </w14:textFill>
                      </w:rPr>
                    </m:ctrlPr>
                  </m:e>
                </m:d>
              </m:oMath>
            </m:oMathPara>
          </w:p>
          <w:p w14:paraId="68CE140B">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式中：</w:t>
            </w: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p1</m:t>
                  </m:r>
                  <m:ctrlPr>
                    <w:rPr>
                      <w:rFonts w:hint="default" w:ascii="Cambria Math" w:hAnsi="Cambria Math" w:cs="Times New Roman"/>
                      <w:i/>
                      <w:color w:val="000000" w:themeColor="text1"/>
                      <w:szCs w:val="24"/>
                      <w:highlight w:val="none"/>
                      <w14:textFill>
                        <w14:solidFill>
                          <w14:schemeClr w14:val="tx1"/>
                        </w14:solidFill>
                      </w14:textFill>
                    </w:rPr>
                  </m:ctrlPr>
                </m:sub>
              </m:sSub>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某个室内声源在靠近围护结构处产生的倍频带声压级，</w:t>
            </w:r>
          </w:p>
          <w:p w14:paraId="44E3CD6D">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w</m:t>
                  </m:r>
                  <m:ctrlPr>
                    <w:rPr>
                      <w:rFonts w:hint="default" w:ascii="Cambria Math" w:hAnsi="Cambria Math" w:cs="Times New Roman"/>
                      <w:i/>
                      <w:color w:val="000000" w:themeColor="text1"/>
                      <w:szCs w:val="24"/>
                      <w:highlight w:val="none"/>
                      <w14:textFill>
                        <w14:solidFill>
                          <w14:schemeClr w14:val="tx1"/>
                        </w14:solidFill>
                      </w14:textFill>
                    </w:rPr>
                  </m:ctrlPr>
                </m:sub>
              </m:sSub>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某个声源的倍频带声功率级，</w:t>
            </w:r>
          </w:p>
          <w:p w14:paraId="724CA9DC">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r</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室内某个声源与靠近围护结构处的距离，</w:t>
            </w:r>
          </w:p>
          <w:p w14:paraId="021D3FE8">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R</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房间常数，</w:t>
            </w:r>
          </w:p>
          <w:p w14:paraId="7661695C">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Q-方向因子。</w:t>
            </w:r>
          </w:p>
          <w:p w14:paraId="4840D983">
            <w:pPr>
              <w:pStyle w:val="35"/>
              <w:spacing w:line="360" w:lineRule="auto"/>
              <w:ind w:firstLine="0"/>
              <w:jc w:val="center"/>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drawing>
                <wp:inline distT="0" distB="0" distL="0" distR="0">
                  <wp:extent cx="1918970" cy="922020"/>
                  <wp:effectExtent l="0" t="0" r="5080" b="11430"/>
                  <wp:docPr id="342402149" name="图片 34240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02149" name="图片 342402149"/>
                          <pic:cNvPicPr>
                            <a:picLocks noChangeAspect="1"/>
                          </pic:cNvPicPr>
                        </pic:nvPicPr>
                        <pic:blipFill>
                          <a:blip r:embed="rId19"/>
                          <a:stretch>
                            <a:fillRect/>
                          </a:stretch>
                        </pic:blipFill>
                        <pic:spPr>
                          <a:xfrm>
                            <a:off x="0" y="0"/>
                            <a:ext cx="1939079" cy="922020"/>
                          </a:xfrm>
                          <a:prstGeom prst="rect">
                            <a:avLst/>
                          </a:prstGeom>
                        </pic:spPr>
                      </pic:pic>
                    </a:graphicData>
                  </a:graphic>
                </wp:inline>
              </w:drawing>
            </w:r>
          </w:p>
          <w:p w14:paraId="7AE55F09">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B</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计算出所有室内声源在靠近围护结构处产生的总倍频带声压级：</w:t>
            </w:r>
          </w:p>
          <w:p w14:paraId="4C7BE46A">
            <w:pPr>
              <w:ind w:firstLine="480"/>
              <w:rPr>
                <w:rFonts w:hint="default" w:ascii="Times New Roman" w:hAnsi="Times New Roman" w:cs="Times New Roman"/>
                <w:color w:val="000000" w:themeColor="text1"/>
                <w:highlight w:val="none"/>
                <w14:textFill>
                  <w14:solidFill>
                    <w14:schemeClr w14:val="tx1"/>
                  </w14:solidFill>
                </w14:textFill>
              </w:rPr>
            </w:pPr>
            <m:oMathPara>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p1i</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r>
                  <m:rPr/>
                  <w:rPr>
                    <w:rFonts w:hint="default" w:ascii="Cambria Math" w:hAnsi="Cambria Math" w:cs="Times New Roman"/>
                    <w:color w:val="000000" w:themeColor="text1"/>
                    <w:highlight w:val="none"/>
                    <w14:textFill>
                      <w14:solidFill>
                        <w14:schemeClr w14:val="tx1"/>
                      </w14:solidFill>
                    </w14:textFill>
                  </w:rPr>
                  <m:t>=10lg</m:t>
                </m:r>
                <m:d>
                  <m:dPr>
                    <m:ctrlPr>
                      <w:rPr>
                        <w:rFonts w:hint="default" w:ascii="Cambria Math" w:hAnsi="Cambria Math" w:cs="Times New Roman"/>
                        <w:i/>
                        <w:color w:val="000000" w:themeColor="text1"/>
                        <w:highlight w:val="none"/>
                        <w14:textFill>
                          <w14:solidFill>
                            <w14:schemeClr w14:val="tx1"/>
                          </w14:solidFill>
                        </w14:textFill>
                      </w:rPr>
                    </m:ctrlPr>
                  </m:dPr>
                  <m:e>
                    <m:nary>
                      <m:naryPr>
                        <m:chr m:val="∑"/>
                        <m:limLoc m:val="undOvr"/>
                        <m:ctrlPr>
                          <w:rPr>
                            <w:rFonts w:hint="default" w:ascii="Cambria Math" w:hAnsi="Cambria Math" w:cs="Times New Roman"/>
                            <w:i/>
                            <w:color w:val="000000" w:themeColor="text1"/>
                            <w:highlight w:val="none"/>
                            <w14:textFill>
                              <w14:solidFill>
                                <w14:schemeClr w14:val="tx1"/>
                              </w14:solidFill>
                            </w14:textFill>
                          </w:rPr>
                        </m:ctrlPr>
                      </m:naryPr>
                      <m:sub>
                        <m:r>
                          <m:rPr/>
                          <w:rPr>
                            <w:rFonts w:hint="default" w:ascii="Cambria Math" w:hAnsi="Cambria Math" w:cs="Times New Roman"/>
                            <w:color w:val="000000" w:themeColor="text1"/>
                            <w:highlight w:val="none"/>
                            <w14:textFill>
                              <w14:solidFill>
                                <w14:schemeClr w14:val="tx1"/>
                              </w14:solidFill>
                            </w14:textFill>
                          </w:rPr>
                          <m:t>j=1</m:t>
                        </m:r>
                        <m:ctrlPr>
                          <w:rPr>
                            <w:rFonts w:hint="default" w:ascii="Cambria Math" w:hAnsi="Cambria Math" w:cs="Times New Roman"/>
                            <w:i/>
                            <w:color w:val="000000" w:themeColor="text1"/>
                            <w:highlight w:val="none"/>
                            <w14:textFill>
                              <w14:solidFill>
                                <w14:schemeClr w14:val="tx1"/>
                              </w14:solidFill>
                            </w14:textFill>
                          </w:rPr>
                        </m:ctrlPr>
                      </m:sub>
                      <m:sup>
                        <m:r>
                          <m:rPr/>
                          <w:rPr>
                            <w:rFonts w:hint="default" w:ascii="Cambria Math" w:hAnsi="Cambria Math" w:cs="Times New Roman"/>
                            <w:color w:val="000000" w:themeColor="text1"/>
                            <w:highlight w:val="none"/>
                            <w14:textFill>
                              <w14:solidFill>
                                <w14:schemeClr w14:val="tx1"/>
                              </w14:solidFill>
                            </w14:textFill>
                          </w:rPr>
                          <m:t>N</m:t>
                        </m:r>
                        <m:ctrlPr>
                          <w:rPr>
                            <w:rFonts w:hint="default" w:ascii="Cambria Math" w:hAnsi="Cambria Math" w:cs="Times New Roman"/>
                            <w:i/>
                            <w:color w:val="000000" w:themeColor="text1"/>
                            <w:highlight w:val="none"/>
                            <w14:textFill>
                              <w14:solidFill>
                                <w14:schemeClr w14:val="tx1"/>
                              </w14:solidFill>
                            </w14:textFill>
                          </w:rPr>
                        </m:ctrlPr>
                      </m:sup>
                      <m:e>
                        <m:sSup>
                          <m:sSupPr>
                            <m:ctrlPr>
                              <w:rPr>
                                <w:rFonts w:hint="default" w:ascii="Cambria Math" w:hAnsi="Cambria Math" w:cs="Times New Roman"/>
                                <w:i/>
                                <w:color w:val="000000" w:themeColor="text1"/>
                                <w:highlight w:val="none"/>
                                <w14:textFill>
                                  <w14:solidFill>
                                    <w14:schemeClr w14:val="tx1"/>
                                  </w14:solidFill>
                                </w14:textFill>
                              </w:rPr>
                            </m:ctrlPr>
                          </m:sSupPr>
                          <m:e>
                            <m:r>
                              <m:rPr/>
                              <w:rPr>
                                <w:rFonts w:hint="default" w:ascii="Cambria Math" w:hAnsi="Cambria Math" w:cs="Times New Roman"/>
                                <w:color w:val="000000" w:themeColor="text1"/>
                                <w:highlight w:val="none"/>
                                <w14:textFill>
                                  <w14:solidFill>
                                    <w14:schemeClr w14:val="tx1"/>
                                  </w14:solidFill>
                                </w14:textFill>
                              </w:rPr>
                              <m:t>10</m:t>
                            </m:r>
                            <m:ctrlPr>
                              <w:rPr>
                                <w:rFonts w:hint="default" w:ascii="Cambria Math" w:hAnsi="Cambria Math" w:cs="Times New Roman"/>
                                <w:i/>
                                <w:color w:val="000000" w:themeColor="text1"/>
                                <w:highlight w:val="none"/>
                                <w14:textFill>
                                  <w14:solidFill>
                                    <w14:schemeClr w14:val="tx1"/>
                                  </w14:solidFill>
                                </w14:textFill>
                              </w:rPr>
                            </m:ctrlPr>
                          </m:e>
                          <m:sup>
                            <m:r>
                              <m:rPr/>
                              <w:rPr>
                                <w:rFonts w:hint="default" w:ascii="Cambria Math" w:hAnsi="Cambria Math" w:cs="Times New Roman"/>
                                <w:color w:val="000000" w:themeColor="text1"/>
                                <w:highlight w:val="none"/>
                                <w14:textFill>
                                  <w14:solidFill>
                                    <w14:schemeClr w14:val="tx1"/>
                                  </w14:solidFill>
                                </w14:textFill>
                              </w:rPr>
                              <m:t>0.1</m:t>
                            </m:r>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pij</m:t>
                                </m:r>
                                <m:ctrlPr>
                                  <w:rPr>
                                    <w:rFonts w:hint="default" w:ascii="Cambria Math" w:hAnsi="Cambria Math" w:cs="Times New Roman"/>
                                    <w:i/>
                                    <w:color w:val="000000" w:themeColor="text1"/>
                                    <w:highlight w:val="none"/>
                                    <w14:textFill>
                                      <w14:solidFill>
                                        <w14:schemeClr w14:val="tx1"/>
                                      </w14:solidFill>
                                    </w14:textFill>
                                  </w:rPr>
                                </m:ctrlPr>
                              </m:sub>
                            </m:sSub>
                            <m:ctrlPr>
                              <w:rPr>
                                <w:rFonts w:hint="default" w:ascii="Cambria Math" w:hAnsi="Cambria Math" w:cs="Times New Roman"/>
                                <w:i/>
                                <w:color w:val="000000" w:themeColor="text1"/>
                                <w:highlight w:val="none"/>
                                <w14:textFill>
                                  <w14:solidFill>
                                    <w14:schemeClr w14:val="tx1"/>
                                  </w14:solidFill>
                                </w14:textFill>
                              </w:rPr>
                            </m:ctrlPr>
                          </m:sup>
                        </m:sSup>
                        <m:ctrlPr>
                          <w:rPr>
                            <w:rFonts w:hint="default" w:ascii="Cambria Math" w:hAnsi="Cambria Math" w:cs="Times New Roman"/>
                            <w:i/>
                            <w:color w:val="000000" w:themeColor="text1"/>
                            <w:highlight w:val="none"/>
                            <w14:textFill>
                              <w14:solidFill>
                                <w14:schemeClr w14:val="tx1"/>
                              </w14:solidFill>
                            </w14:textFill>
                          </w:rPr>
                        </m:ctrlPr>
                      </m:e>
                    </m:nary>
                    <m:ctrlPr>
                      <w:rPr>
                        <w:rFonts w:hint="default" w:ascii="Cambria Math" w:hAnsi="Cambria Math" w:cs="Times New Roman"/>
                        <w:i/>
                        <w:color w:val="000000" w:themeColor="text1"/>
                        <w:highlight w:val="none"/>
                        <w14:textFill>
                          <w14:solidFill>
                            <w14:schemeClr w14:val="tx1"/>
                          </w14:solidFill>
                        </w14:textFill>
                      </w:rPr>
                    </m:ctrlPr>
                  </m:e>
                </m:d>
              </m:oMath>
            </m:oMathPara>
          </w:p>
          <w:p w14:paraId="47F691FF">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式中：</w:t>
            </w: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p1i</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靠近围护结构处室内N个声源i倍频带的叠加声压级，dB；</w:t>
            </w:r>
          </w:p>
          <w:p w14:paraId="594BB528">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 xml:space="preserve">     </w:t>
            </w: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p1ij</m:t>
                  </m:r>
                  <m:ctrlPr>
                    <w:rPr>
                      <w:rFonts w:hint="default" w:ascii="Cambria Math" w:hAnsi="Cambria Math" w:cs="Times New Roman"/>
                      <w:i/>
                      <w:color w:val="000000" w:themeColor="text1"/>
                      <w:highlight w:val="none"/>
                      <w14:textFill>
                        <w14:solidFill>
                          <w14:schemeClr w14:val="tx1"/>
                        </w14:solidFill>
                      </w14:textFill>
                    </w:rPr>
                  </m:ctrlPr>
                </m:sub>
              </m:sSub>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室内j声源i倍频带的声压级，dB；</w:t>
            </w:r>
          </w:p>
          <w:p w14:paraId="4871B159">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 xml:space="preserve">     N</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 xml:space="preserve">室内声源总数。 </w:t>
            </w:r>
          </w:p>
          <w:p w14:paraId="4CAD79CD">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C</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计算出靠近室外围护结构处的声压级：</w:t>
            </w:r>
          </w:p>
          <w:p w14:paraId="3626787A">
            <w:pPr>
              <w:ind w:firstLine="480"/>
              <w:rPr>
                <w:rFonts w:hint="default" w:ascii="Times New Roman" w:hAnsi="Times New Roman" w:cs="Times New Roman"/>
                <w:color w:val="000000" w:themeColor="text1"/>
                <w:highlight w:val="none"/>
                <w14:textFill>
                  <w14:solidFill>
                    <w14:schemeClr w14:val="tx1"/>
                  </w14:solidFill>
                </w14:textFill>
              </w:rPr>
            </w:pPr>
            <m:oMathPara>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p2i</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r>
                  <m:rPr/>
                  <w:rPr>
                    <w:rFonts w:hint="default" w:ascii="Cambria Math" w:hAnsi="Cambria Math" w:cs="Times New Roman"/>
                    <w:color w:val="000000" w:themeColor="text1"/>
                    <w:highlight w:val="none"/>
                    <w14:textFill>
                      <w14:solidFill>
                        <w14:schemeClr w14:val="tx1"/>
                      </w14:solidFill>
                    </w14:textFill>
                  </w:rPr>
                  <m:t>=</m:t>
                </m:r>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p1i</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r>
                  <m:rPr/>
                  <w:rPr>
                    <w:rFonts w:hint="default" w:ascii="Cambria Math" w:hAnsi="Cambria Math" w:cs="Times New Roman"/>
                    <w:color w:val="000000" w:themeColor="text1"/>
                    <w:highlight w:val="none"/>
                    <w14:textFill>
                      <w14:solidFill>
                        <w14:schemeClr w14:val="tx1"/>
                      </w14:solidFill>
                    </w14:textFill>
                  </w:rPr>
                  <m:t>−</m:t>
                </m:r>
                <m:d>
                  <m:dPr>
                    <m:ctrlPr>
                      <w:rPr>
                        <w:rFonts w:hint="default" w:ascii="Cambria Math" w:hAnsi="Cambria Math" w:cs="Times New Roman"/>
                        <w:i/>
                        <w:color w:val="000000" w:themeColor="text1"/>
                        <w:highlight w:val="none"/>
                        <w14:textFill>
                          <w14:solidFill>
                            <w14:schemeClr w14:val="tx1"/>
                          </w14:solidFill>
                        </w14:textFill>
                      </w:rPr>
                    </m:ctrlPr>
                  </m:dPr>
                  <m:e>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i</m:t>
                        </m:r>
                        <m:ctrlPr>
                          <w:rPr>
                            <w:rFonts w:hint="default" w:ascii="Cambria Math" w:hAnsi="Cambria Math" w:cs="Times New Roman"/>
                            <w:i/>
                            <w:color w:val="000000" w:themeColor="text1"/>
                            <w:highlight w:val="none"/>
                            <w14:textFill>
                              <w14:solidFill>
                                <w14:schemeClr w14:val="tx1"/>
                              </w14:solidFill>
                            </w14:textFill>
                          </w:rPr>
                        </m:ctrlPr>
                      </m:sub>
                    </m:sSub>
                    <m:r>
                      <m:rPr/>
                      <w:rPr>
                        <w:rFonts w:hint="default" w:ascii="Cambria Math" w:hAnsi="Cambria Math" w:cs="Times New Roman"/>
                        <w:color w:val="000000" w:themeColor="text1"/>
                        <w:highlight w:val="none"/>
                        <w14:textFill>
                          <w14:solidFill>
                            <w14:schemeClr w14:val="tx1"/>
                          </w14:solidFill>
                        </w14:textFill>
                      </w:rPr>
                      <m:t>+6</m:t>
                    </m:r>
                    <m:ctrlPr>
                      <w:rPr>
                        <w:rFonts w:hint="default" w:ascii="Cambria Math" w:hAnsi="Cambria Math" w:cs="Times New Roman"/>
                        <w:i/>
                        <w:color w:val="000000" w:themeColor="text1"/>
                        <w:highlight w:val="none"/>
                        <w14:textFill>
                          <w14:solidFill>
                            <w14:schemeClr w14:val="tx1"/>
                          </w14:solidFill>
                        </w14:textFill>
                      </w:rPr>
                    </m:ctrlPr>
                  </m:e>
                </m:d>
              </m:oMath>
            </m:oMathPara>
          </w:p>
          <w:p w14:paraId="7CE8B356">
            <w:pPr>
              <w:pStyle w:val="35"/>
              <w:adjustRightInd/>
              <w:spacing w:line="360" w:lineRule="auto"/>
              <w:ind w:firstLine="561"/>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式中：</w:t>
            </w: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p2i</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靠近围护结构处室外N个声源i倍频带的叠加声压级，dB；</w:t>
            </w:r>
          </w:p>
          <w:p w14:paraId="0634F457">
            <w:pPr>
              <w:pStyle w:val="35"/>
              <w:adjustRightInd/>
              <w:spacing w:line="360" w:lineRule="auto"/>
              <w:ind w:firstLine="561"/>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 xml:space="preserve">     </w:t>
            </w: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p1i</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 xml:space="preserve">靠近围护结构处室内N个声源i倍频带的叠加声压级，dB； </w:t>
            </w:r>
          </w:p>
          <w:p w14:paraId="388E5817">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i</m:t>
                  </m:r>
                  <m:ctrlPr>
                    <w:rPr>
                      <w:rFonts w:hint="default" w:ascii="Cambria Math" w:hAnsi="Cambria Math" w:cs="Times New Roman"/>
                      <w:i/>
                      <w:color w:val="000000" w:themeColor="text1"/>
                      <w:highlight w:val="none"/>
                      <w14:textFill>
                        <w14:solidFill>
                          <w14:schemeClr w14:val="tx1"/>
                        </w14:solidFill>
                      </w14:textFill>
                    </w:rPr>
                  </m:ctrlPr>
                </m:sub>
              </m:sSub>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围护结构i倍频带的隔声量，dB。</w:t>
            </w:r>
          </w:p>
          <w:p w14:paraId="47D643D2">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D</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将室外声源的声压级和透过面积换算成等效的室外声源，计算出中心位置位于透声</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S</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处的等效声源的倍频带声功率级。</w:t>
            </w:r>
          </w:p>
          <w:p w14:paraId="01F4A47D">
            <w:pPr>
              <w:spacing w:line="360" w:lineRule="auto"/>
              <w:ind w:firstLine="482"/>
              <w:rPr>
                <w:rFonts w:hint="default" w:ascii="Times New Roman" w:hAnsi="Times New Roman" w:cs="Times New Roman"/>
                <w:color w:val="000000" w:themeColor="text1"/>
                <w:highlight w:val="none"/>
                <w14:textFill>
                  <w14:solidFill>
                    <w14:schemeClr w14:val="tx1"/>
                  </w14:solidFill>
                </w14:textFill>
              </w:rPr>
            </w:pPr>
            <m:oMathPara>
              <m:oMath>
                <m:sSub>
                  <m:sSubPr>
                    <m:ctrlPr>
                      <w:rPr>
                        <w:rFonts w:hint="default" w:ascii="Cambria Math" w:hAnsi="Cambria Math" w:cs="Times New Roman"/>
                        <w:i/>
                        <w:color w:val="000000" w:themeColor="text1"/>
                        <w:sz w:val="24"/>
                        <w:highlight w:val="none"/>
                        <w14:textFill>
                          <w14:solidFill>
                            <w14:schemeClr w14:val="tx1"/>
                          </w14:solidFill>
                        </w14:textFill>
                      </w:rPr>
                    </m:ctrlPr>
                  </m:sSubPr>
                  <m:e>
                    <m:r>
                      <m:rPr/>
                      <w:rPr>
                        <w:rFonts w:hint="default" w:ascii="Cambria Math" w:hAnsi="Cambria Math" w:cs="Times New Roman"/>
                        <w:color w:val="000000" w:themeColor="text1"/>
                        <w:sz w:val="24"/>
                        <w:highlight w:val="none"/>
                        <w14:textFill>
                          <w14:solidFill>
                            <w14:schemeClr w14:val="tx1"/>
                          </w14:solidFill>
                        </w14:textFill>
                      </w:rPr>
                      <m:t>L</m:t>
                    </m:r>
                    <m:ctrlPr>
                      <w:rPr>
                        <w:rFonts w:hint="default" w:ascii="Cambria Math" w:hAnsi="Cambria Math" w:cs="Times New Roman"/>
                        <w:i/>
                        <w:color w:val="000000" w:themeColor="text1"/>
                        <w:sz w:val="24"/>
                        <w:highlight w:val="none"/>
                        <w14:textFill>
                          <w14:solidFill>
                            <w14:schemeClr w14:val="tx1"/>
                          </w14:solidFill>
                        </w14:textFill>
                      </w:rPr>
                    </m:ctrlPr>
                  </m:e>
                  <m:sub>
                    <m:r>
                      <m:rPr/>
                      <w:rPr>
                        <w:rFonts w:hint="default" w:ascii="Cambria Math" w:hAnsi="Cambria Math" w:cs="Times New Roman"/>
                        <w:color w:val="000000" w:themeColor="text1"/>
                        <w:sz w:val="24"/>
                        <w:highlight w:val="none"/>
                        <w14:textFill>
                          <w14:solidFill>
                            <w14:schemeClr w14:val="tx1"/>
                          </w14:solidFill>
                        </w14:textFill>
                      </w:rPr>
                      <m:t>w</m:t>
                    </m:r>
                    <m:ctrlPr>
                      <w:rPr>
                        <w:rFonts w:hint="default" w:ascii="Cambria Math" w:hAnsi="Cambria Math" w:cs="Times New Roman"/>
                        <w:i/>
                        <w:color w:val="000000" w:themeColor="text1"/>
                        <w:sz w:val="24"/>
                        <w:highlight w:val="none"/>
                        <w14:textFill>
                          <w14:solidFill>
                            <w14:schemeClr w14:val="tx1"/>
                          </w14:solidFill>
                        </w14:textFill>
                      </w:rPr>
                    </m:ctrlPr>
                  </m:sub>
                </m:sSub>
                <m:r>
                  <m:rPr/>
                  <w:rPr>
                    <w:rFonts w:hint="default" w:ascii="Cambria Math" w:hAnsi="Cambria Math" w:cs="Times New Roman"/>
                    <w:color w:val="000000" w:themeColor="text1"/>
                    <w:sz w:val="24"/>
                    <w:highlight w:val="none"/>
                    <w14:textFill>
                      <w14:solidFill>
                        <w14:schemeClr w14:val="tx1"/>
                      </w14:solidFill>
                    </w14:textFill>
                  </w:rPr>
                  <m:t>=</m:t>
                </m:r>
                <m:sSub>
                  <m:sSubPr>
                    <m:ctrlPr>
                      <w:rPr>
                        <w:rFonts w:hint="default" w:ascii="Cambria Math" w:hAnsi="Cambria Math" w:cs="Times New Roman"/>
                        <w:i/>
                        <w:color w:val="000000" w:themeColor="text1"/>
                        <w:sz w:val="24"/>
                        <w:highlight w:val="none"/>
                        <w14:textFill>
                          <w14:solidFill>
                            <w14:schemeClr w14:val="tx1"/>
                          </w14:solidFill>
                        </w14:textFill>
                      </w:rPr>
                    </m:ctrlPr>
                  </m:sSubPr>
                  <m:e>
                    <m:r>
                      <m:rPr/>
                      <w:rPr>
                        <w:rFonts w:hint="default" w:ascii="Cambria Math" w:hAnsi="Cambria Math" w:cs="Times New Roman"/>
                        <w:color w:val="000000" w:themeColor="text1"/>
                        <w:sz w:val="24"/>
                        <w:highlight w:val="none"/>
                        <w14:textFill>
                          <w14:solidFill>
                            <w14:schemeClr w14:val="tx1"/>
                          </w14:solidFill>
                        </w14:textFill>
                      </w:rPr>
                      <m:t>L</m:t>
                    </m:r>
                    <m:ctrlPr>
                      <w:rPr>
                        <w:rFonts w:hint="default" w:ascii="Cambria Math" w:hAnsi="Cambria Math" w:cs="Times New Roman"/>
                        <w:i/>
                        <w:color w:val="000000" w:themeColor="text1"/>
                        <w:sz w:val="24"/>
                        <w:highlight w:val="none"/>
                        <w14:textFill>
                          <w14:solidFill>
                            <w14:schemeClr w14:val="tx1"/>
                          </w14:solidFill>
                        </w14:textFill>
                      </w:rPr>
                    </m:ctrlPr>
                  </m:e>
                  <m:sub>
                    <m:r>
                      <m:rPr/>
                      <w:rPr>
                        <w:rFonts w:hint="default" w:ascii="Cambria Math" w:hAnsi="Cambria Math" w:cs="Times New Roman"/>
                        <w:color w:val="000000" w:themeColor="text1"/>
                        <w:sz w:val="24"/>
                        <w:highlight w:val="none"/>
                        <w14:textFill>
                          <w14:solidFill>
                            <w14:schemeClr w14:val="tx1"/>
                          </w14:solidFill>
                        </w14:textFill>
                      </w:rPr>
                      <m:t>p2</m:t>
                    </m:r>
                    <m:ctrlPr>
                      <w:rPr>
                        <w:rFonts w:hint="default" w:ascii="Cambria Math" w:hAnsi="Cambria Math" w:cs="Times New Roman"/>
                        <w:i/>
                        <w:color w:val="000000" w:themeColor="text1"/>
                        <w:sz w:val="24"/>
                        <w:highlight w:val="none"/>
                        <w14:textFill>
                          <w14:solidFill>
                            <w14:schemeClr w14:val="tx1"/>
                          </w14:solidFill>
                        </w14:textFill>
                      </w:rPr>
                    </m:ctrlPr>
                  </m:sub>
                </m:sSub>
                <m:d>
                  <m:dPr>
                    <m:ctrlPr>
                      <w:rPr>
                        <w:rFonts w:hint="default" w:ascii="Cambria Math" w:hAnsi="Cambria Math" w:cs="Times New Roman"/>
                        <w:i/>
                        <w:color w:val="000000" w:themeColor="text1"/>
                        <w:sz w:val="24"/>
                        <w:highlight w:val="none"/>
                        <w14:textFill>
                          <w14:solidFill>
                            <w14:schemeClr w14:val="tx1"/>
                          </w14:solidFill>
                        </w14:textFill>
                      </w:rPr>
                    </m:ctrlPr>
                  </m:dPr>
                  <m:e>
                    <m:r>
                      <m:rPr/>
                      <w:rPr>
                        <w:rFonts w:hint="default" w:ascii="Cambria Math" w:hAnsi="Cambria Math" w:cs="Times New Roman"/>
                        <w:color w:val="000000" w:themeColor="text1"/>
                        <w:sz w:val="24"/>
                        <w:highlight w:val="none"/>
                        <w14:textFill>
                          <w14:solidFill>
                            <w14:schemeClr w14:val="tx1"/>
                          </w14:solidFill>
                        </w14:textFill>
                      </w:rPr>
                      <m:t>T</m:t>
                    </m:r>
                    <m:ctrlPr>
                      <w:rPr>
                        <w:rFonts w:hint="default" w:ascii="Cambria Math" w:hAnsi="Cambria Math" w:cs="Times New Roman"/>
                        <w:i/>
                        <w:color w:val="000000" w:themeColor="text1"/>
                        <w:sz w:val="24"/>
                        <w:highlight w:val="none"/>
                        <w14:textFill>
                          <w14:solidFill>
                            <w14:schemeClr w14:val="tx1"/>
                          </w14:solidFill>
                        </w14:textFill>
                      </w:rPr>
                    </m:ctrlPr>
                  </m:e>
                </m:d>
                <m:r>
                  <m:rPr/>
                  <w:rPr>
                    <w:rFonts w:hint="default" w:ascii="Cambria Math" w:hAnsi="Cambria Math" w:cs="Times New Roman"/>
                    <w:color w:val="000000" w:themeColor="text1"/>
                    <w:sz w:val="24"/>
                    <w:highlight w:val="none"/>
                    <w14:textFill>
                      <w14:solidFill>
                        <w14:schemeClr w14:val="tx1"/>
                      </w14:solidFill>
                    </w14:textFill>
                  </w:rPr>
                  <m:t>+10lgS</m:t>
                </m:r>
              </m:oMath>
            </m:oMathPara>
          </w:p>
          <w:p w14:paraId="2156F0AE">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式中：</w:t>
            </w: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w</m:t>
                  </m:r>
                  <m:ctrlPr>
                    <w:rPr>
                      <w:rFonts w:hint="default" w:ascii="Cambria Math" w:hAnsi="Cambria Math" w:cs="Times New Roman"/>
                      <w:i/>
                      <w:color w:val="000000" w:themeColor="text1"/>
                      <w:highlight w:val="none"/>
                      <w14:textFill>
                        <w14:solidFill>
                          <w14:schemeClr w14:val="tx1"/>
                        </w14:solidFill>
                      </w14:textFill>
                    </w:rPr>
                  </m:ctrlPr>
                </m:sub>
              </m:sSub>
            </m:oMath>
            <w:r>
              <w:rPr>
                <w:rFonts w:hint="default" w:ascii="Times New Roman" w:hAnsi="Times New Roman" w:cs="Times New Roman"/>
                <w:color w:val="000000" w:themeColor="text1"/>
                <w:szCs w:val="24"/>
                <w:highlight w:val="none"/>
                <w14:textFill>
                  <w14:solidFill>
                    <w14:schemeClr w14:val="tx1"/>
                  </w14:solidFill>
                </w14:textFill>
              </w:rPr>
              <w:t>-中心位置位于透声面积</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S</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处的等效声源的倍频带声功率级，dB；</w:t>
            </w:r>
          </w:p>
          <w:p w14:paraId="1F5C0F91">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m:oMath>
              <m:sSub>
                <m:sSubPr>
                  <m:ctrlPr>
                    <w:rPr>
                      <w:rFonts w:hint="default" w:ascii="Cambria Math" w:hAnsi="Cambria Math" w:cs="Times New Roman"/>
                      <w:i/>
                      <w:color w:val="000000" w:themeColor="text1"/>
                      <w:highlight w:val="none"/>
                      <w14:textFill>
                        <w14:solidFill>
                          <w14:schemeClr w14:val="tx1"/>
                        </w14:solidFill>
                      </w14:textFill>
                    </w:rPr>
                  </m:ctrlPr>
                </m:sSubPr>
                <m:e>
                  <m:r>
                    <m:rPr/>
                    <w:rPr>
                      <w:rFonts w:hint="default" w:ascii="Cambria Math" w:hAnsi="Cambria Math" w:cs="Times New Roman"/>
                      <w:color w:val="000000" w:themeColor="text1"/>
                      <w:highlight w:val="none"/>
                      <w14:textFill>
                        <w14:solidFill>
                          <w14:schemeClr w14:val="tx1"/>
                        </w14:solidFill>
                      </w14:textFill>
                    </w:rPr>
                    <m:t>L</m:t>
                  </m:r>
                  <m:ctrlPr>
                    <w:rPr>
                      <w:rFonts w:hint="default" w:ascii="Cambria Math" w:hAnsi="Cambria Math" w:cs="Times New Roman"/>
                      <w:i/>
                      <w:color w:val="000000" w:themeColor="text1"/>
                      <w:highlight w:val="none"/>
                      <w14:textFill>
                        <w14:solidFill>
                          <w14:schemeClr w14:val="tx1"/>
                        </w14:solidFill>
                      </w14:textFill>
                    </w:rPr>
                  </m:ctrlPr>
                </m:e>
                <m:sub>
                  <m:r>
                    <m:rPr/>
                    <w:rPr>
                      <w:rFonts w:hint="default" w:ascii="Cambria Math" w:hAnsi="Cambria Math" w:cs="Times New Roman"/>
                      <w:color w:val="000000" w:themeColor="text1"/>
                      <w:highlight w:val="none"/>
                      <w14:textFill>
                        <w14:solidFill>
                          <w14:schemeClr w14:val="tx1"/>
                        </w14:solidFill>
                      </w14:textFill>
                    </w:rPr>
                    <m:t>p2</m:t>
                  </m:r>
                  <m:ctrlPr>
                    <w:rPr>
                      <w:rFonts w:hint="default" w:ascii="Cambria Math" w:hAnsi="Cambria Math" w:cs="Times New Roman"/>
                      <w:i/>
                      <w:color w:val="000000" w:themeColor="text1"/>
                      <w:highlight w:val="none"/>
                      <w14:textFill>
                        <w14:solidFill>
                          <w14:schemeClr w14:val="tx1"/>
                        </w14:solidFill>
                      </w14:textFill>
                    </w:rPr>
                  </m:ctrlPr>
                </m:sub>
              </m:sSub>
              <m:d>
                <m:dPr>
                  <m:ctrlPr>
                    <w:rPr>
                      <w:rFonts w:hint="default" w:ascii="Cambria Math" w:hAnsi="Cambria Math" w:cs="Times New Roman"/>
                      <w:i/>
                      <w:color w:val="000000" w:themeColor="text1"/>
                      <w:highlight w:val="none"/>
                      <w14:textFill>
                        <w14:solidFill>
                          <w14:schemeClr w14:val="tx1"/>
                        </w14:solidFill>
                      </w14:textFill>
                    </w:rPr>
                  </m:ctrlPr>
                </m:dPr>
                <m:e>
                  <m:r>
                    <m:rPr/>
                    <w:rPr>
                      <w:rFonts w:hint="default" w:ascii="Cambria Math" w:hAnsi="Cambria Math" w:cs="Times New Roman"/>
                      <w:color w:val="000000" w:themeColor="text1"/>
                      <w:highlight w:val="none"/>
                      <w14:textFill>
                        <w14:solidFill>
                          <w14:schemeClr w14:val="tx1"/>
                        </w14:solidFill>
                      </w14:textFill>
                    </w:rPr>
                    <m:t>T</m:t>
                  </m:r>
                  <m:ctrlPr>
                    <w:rPr>
                      <w:rFonts w:hint="default" w:ascii="Cambria Math" w:hAnsi="Cambria Math" w:cs="Times New Roman"/>
                      <w:i/>
                      <w:color w:val="000000" w:themeColor="text1"/>
                      <w:highlight w:val="none"/>
                      <w14:textFill>
                        <w14:solidFill>
                          <w14:schemeClr w14:val="tx1"/>
                        </w14:solidFill>
                      </w14:textFill>
                    </w:rPr>
                  </m:ctrlPr>
                </m:e>
              </m:d>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靠近围护结构处室外声源的声压级，dB；</w:t>
            </w:r>
          </w:p>
          <w:p w14:paraId="29CDFBAE">
            <w:pPr>
              <w:pStyle w:val="35"/>
              <w:spacing w:line="360" w:lineRule="auto"/>
              <w:ind w:firstLine="1200" w:firstLineChars="500"/>
              <w:rPr>
                <w:rFonts w:hint="default" w:ascii="Times New Roman" w:hAnsi="Times New Roman" w:cs="Times New Roman"/>
                <w:color w:val="000000" w:themeColor="text1"/>
                <w:szCs w:val="24"/>
                <w:highlight w:val="none"/>
                <w14:textFill>
                  <w14:solidFill>
                    <w14:schemeClr w14:val="tx1"/>
                  </w14:solidFill>
                </w14:textFill>
              </w:rPr>
            </w:pPr>
            <m:oMath>
              <m:r>
                <m:rPr/>
                <w:rPr>
                  <w:rFonts w:hint="default" w:ascii="Cambria Math" w:hAnsi="Cambria Math" w:cs="Times New Roman"/>
                  <w:color w:val="000000" w:themeColor="text1"/>
                  <w:highlight w:val="none"/>
                  <w14:textFill>
                    <w14:solidFill>
                      <w14:schemeClr w14:val="tx1"/>
                    </w14:solidFill>
                  </w14:textFill>
                </w:rPr>
                <m:t>S</m:t>
              </m:r>
            </m:oMath>
            <w:r>
              <w:rPr>
                <w:rFonts w:hint="eastAsia" w:hAnsi="Cambria Math" w:eastAsia="宋体" w:cs="Times New Roman"/>
                <w:i w:val="0"/>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透声面积，m</w:t>
            </w:r>
            <w:r>
              <w:rPr>
                <w:rFonts w:hint="default" w:ascii="Times New Roman" w:hAnsi="Times New Roman" w:cs="Times New Roman"/>
                <w:color w:val="000000" w:themeColor="text1"/>
                <w:szCs w:val="24"/>
                <w:highlight w:val="none"/>
                <w:vertAlign w:val="superscript"/>
                <w14:textFill>
                  <w14:solidFill>
                    <w14:schemeClr w14:val="tx1"/>
                  </w14:solidFill>
                </w14:textFill>
              </w:rPr>
              <w:t>2</w:t>
            </w:r>
            <w:r>
              <w:rPr>
                <w:rFonts w:hint="default" w:ascii="Times New Roman" w:hAnsi="Times New Roman" w:cs="Times New Roman"/>
                <w:color w:val="000000" w:themeColor="text1"/>
                <w:szCs w:val="24"/>
                <w:highlight w:val="none"/>
                <w14:textFill>
                  <w14:solidFill>
                    <w14:schemeClr w14:val="tx1"/>
                  </w14:solidFill>
                </w14:textFill>
              </w:rPr>
              <w:t>。</w:t>
            </w:r>
          </w:p>
          <w:p w14:paraId="5E3CF90F">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然后按室外声源预测方法计算预测点处的A声级。</w:t>
            </w:r>
          </w:p>
          <w:p w14:paraId="642B8CCA">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③</w:t>
            </w:r>
            <w:r>
              <w:rPr>
                <w:rFonts w:hint="default" w:ascii="Times New Roman" w:hAnsi="Times New Roman" w:cs="Times New Roman"/>
                <w:color w:val="000000" w:themeColor="text1"/>
                <w:kern w:val="0"/>
                <w:szCs w:val="21"/>
                <w:highlight w:val="none"/>
                <w14:textFill>
                  <w14:solidFill>
                    <w14:schemeClr w14:val="tx1"/>
                  </w14:solidFill>
                </w14:textFill>
              </w:rPr>
              <w:t>工业企业噪声计算</w:t>
            </w:r>
          </w:p>
          <w:p w14:paraId="75C50123">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设第i个室外声源在预测点产生的A声级为L</w:t>
            </w:r>
            <w:r>
              <w:rPr>
                <w:rFonts w:hint="default" w:ascii="Times New Roman" w:hAnsi="Times New Roman" w:cs="Times New Roman"/>
                <w:color w:val="000000" w:themeColor="text1"/>
                <w:szCs w:val="24"/>
                <w:highlight w:val="none"/>
                <w:vertAlign w:val="subscript"/>
                <w14:textFill>
                  <w14:solidFill>
                    <w14:schemeClr w14:val="tx1"/>
                  </w14:solidFill>
                </w14:textFill>
              </w:rPr>
              <w:t>Ai</w:t>
            </w:r>
            <w:r>
              <w:rPr>
                <w:rFonts w:hint="default" w:ascii="Times New Roman" w:hAnsi="Times New Roman" w:cs="Times New Roman"/>
                <w:color w:val="000000" w:themeColor="text1"/>
                <w:szCs w:val="24"/>
                <w:highlight w:val="none"/>
                <w14:textFill>
                  <w14:solidFill>
                    <w14:schemeClr w14:val="tx1"/>
                  </w14:solidFill>
                </w14:textFill>
              </w:rPr>
              <w:t>，在T时间内该声源工作时间为t</w:t>
            </w:r>
            <w:r>
              <w:rPr>
                <w:rFonts w:hint="default" w:ascii="Times New Roman" w:hAnsi="Times New Roman" w:cs="Times New Roman"/>
                <w:color w:val="000000" w:themeColor="text1"/>
                <w:szCs w:val="24"/>
                <w:highlight w:val="none"/>
                <w:vertAlign w:val="subscript"/>
                <w14:textFill>
                  <w14:solidFill>
                    <w14:schemeClr w14:val="tx1"/>
                  </w14:solidFill>
                </w14:textFill>
              </w:rPr>
              <w:t>i</w:t>
            </w:r>
            <w:r>
              <w:rPr>
                <w:rFonts w:hint="default" w:ascii="Times New Roman" w:hAnsi="Times New Roman" w:cs="Times New Roman"/>
                <w:color w:val="000000" w:themeColor="text1"/>
                <w:szCs w:val="24"/>
                <w:highlight w:val="none"/>
                <w14:textFill>
                  <w14:solidFill>
                    <w14:schemeClr w14:val="tx1"/>
                  </w14:solidFill>
                </w14:textFill>
              </w:rPr>
              <w:t>；第j个等效室外声源在预测点产生的A声级为L</w:t>
            </w:r>
            <w:r>
              <w:rPr>
                <w:rFonts w:hint="default" w:ascii="Times New Roman" w:hAnsi="Times New Roman" w:cs="Times New Roman"/>
                <w:color w:val="000000" w:themeColor="text1"/>
                <w:szCs w:val="24"/>
                <w:highlight w:val="none"/>
                <w:vertAlign w:val="subscript"/>
                <w14:textFill>
                  <w14:solidFill>
                    <w14:schemeClr w14:val="tx1"/>
                  </w14:solidFill>
                </w14:textFill>
              </w:rPr>
              <w:t>Aj</w:t>
            </w:r>
            <w:r>
              <w:rPr>
                <w:rFonts w:hint="default" w:ascii="Times New Roman" w:hAnsi="Times New Roman" w:cs="Times New Roman"/>
                <w:color w:val="000000" w:themeColor="text1"/>
                <w:szCs w:val="24"/>
                <w:highlight w:val="none"/>
                <w14:textFill>
                  <w14:solidFill>
                    <w14:schemeClr w14:val="tx1"/>
                  </w14:solidFill>
                </w14:textFill>
              </w:rPr>
              <w:t>，在T时间内该声源工作时间为t</w:t>
            </w:r>
            <w:r>
              <w:rPr>
                <w:rFonts w:hint="default" w:ascii="Times New Roman" w:hAnsi="Times New Roman" w:cs="Times New Roman"/>
                <w:color w:val="000000" w:themeColor="text1"/>
                <w:szCs w:val="24"/>
                <w:highlight w:val="none"/>
                <w:vertAlign w:val="subscript"/>
                <w14:textFill>
                  <w14:solidFill>
                    <w14:schemeClr w14:val="tx1"/>
                  </w14:solidFill>
                </w14:textFill>
              </w:rPr>
              <w:t>j</w:t>
            </w:r>
            <w:r>
              <w:rPr>
                <w:rFonts w:hint="default" w:ascii="Times New Roman" w:hAnsi="Times New Roman" w:cs="Times New Roman"/>
                <w:color w:val="000000" w:themeColor="text1"/>
                <w:szCs w:val="24"/>
                <w:highlight w:val="none"/>
                <w14:textFill>
                  <w14:solidFill>
                    <w14:schemeClr w14:val="tx1"/>
                  </w14:solidFill>
                </w14:textFill>
              </w:rPr>
              <w:t>，则拟建工程声源对预测点产生的贡献值</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L</w:t>
            </w:r>
            <w:r>
              <w:rPr>
                <w:rFonts w:hint="default" w:ascii="Times New Roman" w:hAnsi="Times New Roman" w:cs="Times New Roman"/>
                <w:color w:val="000000" w:themeColor="text1"/>
                <w:szCs w:val="24"/>
                <w:highlight w:val="none"/>
                <w:vertAlign w:val="subscript"/>
                <w14:textFill>
                  <w14:solidFill>
                    <w14:schemeClr w14:val="tx1"/>
                  </w14:solidFill>
                </w14:textFill>
              </w:rPr>
              <w:t>eqg</w:t>
            </w:r>
            <w:r>
              <w:rPr>
                <w:rFonts w:hint="eastAsia" w:ascii="Times New Roman" w:hAnsi="Times New Roman" w:eastAsia="宋体"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为：</w:t>
            </w:r>
          </w:p>
          <w:p w14:paraId="21C9A12A">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Para>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eqg</m:t>
                    </m:r>
                    <m:ctrlPr>
                      <w:rPr>
                        <w:rFonts w:hint="default" w:ascii="Cambria Math" w:hAnsi="Cambria Math" w:cs="Times New Roman"/>
                        <w:i/>
                        <w:color w:val="000000" w:themeColor="text1"/>
                        <w:szCs w:val="24"/>
                        <w:highlight w:val="none"/>
                        <w14:textFill>
                          <w14:solidFill>
                            <w14:schemeClr w14:val="tx1"/>
                          </w14:solidFill>
                        </w14:textFill>
                      </w:rPr>
                    </m:ctrlPr>
                  </m:sub>
                </m:sSub>
                <m:r>
                  <m:rPr/>
                  <w:rPr>
                    <w:rFonts w:hint="default" w:ascii="Cambria Math" w:hAnsi="Cambria Math" w:cs="Times New Roman"/>
                    <w:color w:val="000000" w:themeColor="text1"/>
                    <w:szCs w:val="24"/>
                    <w:highlight w:val="none"/>
                    <w14:textFill>
                      <w14:solidFill>
                        <w14:schemeClr w14:val="tx1"/>
                      </w14:solidFill>
                    </w14:textFill>
                  </w:rPr>
                  <m:t>=10lg</m:t>
                </m:r>
                <m:d>
                  <m:dPr>
                    <m:begChr m:val="["/>
                    <m:endChr m:val="]"/>
                    <m:ctrlPr>
                      <w:rPr>
                        <w:rFonts w:hint="default" w:ascii="Cambria Math" w:hAnsi="Cambria Math" w:cs="Times New Roman"/>
                        <w:i/>
                        <w:color w:val="000000" w:themeColor="text1"/>
                        <w:szCs w:val="24"/>
                        <w:highlight w:val="none"/>
                        <w14:textFill>
                          <w14:solidFill>
                            <w14:schemeClr w14:val="tx1"/>
                          </w14:solidFill>
                        </w14:textFill>
                      </w:rPr>
                    </m:ctrlPr>
                  </m:dPr>
                  <m:e>
                    <m:f>
                      <m:fPr>
                        <m:ctrlPr>
                          <w:rPr>
                            <w:rFonts w:hint="default" w:ascii="Cambria Math" w:hAnsi="Cambria Math" w:cs="Times New Roman"/>
                            <w:i/>
                            <w:color w:val="000000" w:themeColor="text1"/>
                            <w:szCs w:val="24"/>
                            <w:highlight w:val="none"/>
                            <w14:textFill>
                              <w14:solidFill>
                                <w14:schemeClr w14:val="tx1"/>
                              </w14:solidFill>
                            </w14:textFill>
                          </w:rPr>
                        </m:ctrlPr>
                      </m:fPr>
                      <m:num>
                        <m:r>
                          <m:rPr/>
                          <w:rPr>
                            <w:rFonts w:hint="default" w:ascii="Cambria Math" w:hAnsi="Cambria Math" w:cs="Times New Roman"/>
                            <w:color w:val="000000" w:themeColor="text1"/>
                            <w:szCs w:val="24"/>
                            <w:highlight w:val="none"/>
                            <w14:textFill>
                              <w14:solidFill>
                                <w14:schemeClr w14:val="tx1"/>
                              </w14:solidFill>
                            </w14:textFill>
                          </w:rPr>
                          <m:t>1</m:t>
                        </m:r>
                        <m:ctrlPr>
                          <w:rPr>
                            <w:rFonts w:hint="default" w:ascii="Cambria Math" w:hAnsi="Cambria Math" w:cs="Times New Roman"/>
                            <w:i/>
                            <w:color w:val="000000" w:themeColor="text1"/>
                            <w:szCs w:val="24"/>
                            <w:highlight w:val="none"/>
                            <w14:textFill>
                              <w14:solidFill>
                                <w14:schemeClr w14:val="tx1"/>
                              </w14:solidFill>
                            </w14:textFill>
                          </w:rPr>
                        </m:ctrlPr>
                      </m:num>
                      <m:den>
                        <m:r>
                          <m:rPr/>
                          <w:rPr>
                            <w:rFonts w:hint="default" w:ascii="Cambria Math" w:hAnsi="Cambria Math" w:cs="Times New Roman"/>
                            <w:color w:val="000000" w:themeColor="text1"/>
                            <w:szCs w:val="24"/>
                            <w:highlight w:val="none"/>
                            <w14:textFill>
                              <w14:solidFill>
                                <w14:schemeClr w14:val="tx1"/>
                              </w14:solidFill>
                            </w14:textFill>
                          </w:rPr>
                          <m:t>T</m:t>
                        </m:r>
                        <m:ctrlPr>
                          <w:rPr>
                            <w:rFonts w:hint="default" w:ascii="Cambria Math" w:hAnsi="Cambria Math" w:cs="Times New Roman"/>
                            <w:i/>
                            <w:color w:val="000000" w:themeColor="text1"/>
                            <w:szCs w:val="24"/>
                            <w:highlight w:val="none"/>
                            <w14:textFill>
                              <w14:solidFill>
                                <w14:schemeClr w14:val="tx1"/>
                              </w14:solidFill>
                            </w14:textFill>
                          </w:rPr>
                        </m:ctrlPr>
                      </m:den>
                    </m:f>
                    <m:d>
                      <m:dPr>
                        <m:ctrlPr>
                          <w:rPr>
                            <w:rFonts w:hint="default" w:ascii="Cambria Math" w:hAnsi="Cambria Math" w:cs="Times New Roman"/>
                            <w:i/>
                            <w:color w:val="000000" w:themeColor="text1"/>
                            <w:szCs w:val="24"/>
                            <w:highlight w:val="none"/>
                            <w14:textFill>
                              <w14:solidFill>
                                <w14:schemeClr w14:val="tx1"/>
                              </w14:solidFill>
                            </w14:textFill>
                          </w:rPr>
                        </m:ctrlPr>
                      </m:dPr>
                      <m:e>
                        <m:nary>
                          <m:naryPr>
                            <m:chr m:val="∑"/>
                            <m:limLoc m:val="undOvr"/>
                            <m:ctrlPr>
                              <w:rPr>
                                <w:rFonts w:hint="default" w:ascii="Cambria Math" w:hAnsi="Cambria Math" w:cs="Times New Roman"/>
                                <w:i/>
                                <w:color w:val="000000" w:themeColor="text1"/>
                                <w:szCs w:val="24"/>
                                <w:highlight w:val="none"/>
                                <w14:textFill>
                                  <w14:solidFill>
                                    <w14:schemeClr w14:val="tx1"/>
                                  </w14:solidFill>
                                </w14:textFill>
                              </w:rPr>
                            </m:ctrlPr>
                          </m:naryPr>
                          <m:sub>
                            <m:r>
                              <m:rPr/>
                              <w:rPr>
                                <w:rFonts w:hint="default" w:ascii="Cambria Math" w:hAnsi="Cambria Math" w:cs="Times New Roman"/>
                                <w:color w:val="000000" w:themeColor="text1"/>
                                <w:szCs w:val="24"/>
                                <w:highlight w:val="none"/>
                                <w14:textFill>
                                  <w14:solidFill>
                                    <w14:schemeClr w14:val="tx1"/>
                                  </w14:solidFill>
                                </w14:textFill>
                              </w:rPr>
                              <m:t>i=1</m:t>
                            </m:r>
                            <m:ctrlPr>
                              <w:rPr>
                                <w:rFonts w:hint="default" w:ascii="Cambria Math" w:hAnsi="Cambria Math" w:cs="Times New Roman"/>
                                <w:i/>
                                <w:color w:val="000000" w:themeColor="text1"/>
                                <w:szCs w:val="24"/>
                                <w:highlight w:val="none"/>
                                <w14:textFill>
                                  <w14:solidFill>
                                    <w14:schemeClr w14:val="tx1"/>
                                  </w14:solidFill>
                                </w14:textFill>
                              </w:rPr>
                            </m:ctrlPr>
                          </m:sub>
                          <m:sup>
                            <m:r>
                              <m:rPr/>
                              <w:rPr>
                                <w:rFonts w:hint="default" w:ascii="Cambria Math" w:hAnsi="Cambria Math" w:cs="Times New Roman"/>
                                <w:color w:val="000000" w:themeColor="text1"/>
                                <w:szCs w:val="24"/>
                                <w:highlight w:val="none"/>
                                <w14:textFill>
                                  <w14:solidFill>
                                    <w14:schemeClr w14:val="tx1"/>
                                  </w14:solidFill>
                                </w14:textFill>
                              </w:rPr>
                              <m:t>N</m:t>
                            </m:r>
                            <m:ctrlPr>
                              <w:rPr>
                                <w:rFonts w:hint="default" w:ascii="Cambria Math" w:hAnsi="Cambria Math" w:cs="Times New Roman"/>
                                <w:i/>
                                <w:color w:val="000000" w:themeColor="text1"/>
                                <w:szCs w:val="24"/>
                                <w:highlight w:val="none"/>
                                <w14:textFill>
                                  <w14:solidFill>
                                    <w14:schemeClr w14:val="tx1"/>
                                  </w14:solidFill>
                                </w14:textFill>
                              </w:rPr>
                            </m:ctrlPr>
                          </m:sup>
                          <m:e>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t</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i</m:t>
                                </m:r>
                                <m:ctrlPr>
                                  <w:rPr>
                                    <w:rFonts w:hint="default" w:ascii="Cambria Math" w:hAnsi="Cambria Math" w:cs="Times New Roman"/>
                                    <w:i/>
                                    <w:color w:val="000000" w:themeColor="text1"/>
                                    <w:szCs w:val="24"/>
                                    <w:highlight w:val="none"/>
                                    <w14:textFill>
                                      <w14:solidFill>
                                        <w14:schemeClr w14:val="tx1"/>
                                      </w14:solidFill>
                                    </w14:textFill>
                                  </w:rPr>
                                </m:ctrlPr>
                              </m:sub>
                            </m:sSub>
                            <m:sSup>
                              <m:sSupPr>
                                <m:ctrlPr>
                                  <w:rPr>
                                    <w:rFonts w:hint="default" w:ascii="Cambria Math" w:hAnsi="Cambria Math" w:cs="Times New Roman"/>
                                    <w:i/>
                                    <w:color w:val="000000" w:themeColor="text1"/>
                                    <w:szCs w:val="24"/>
                                    <w:highlight w:val="none"/>
                                    <w14:textFill>
                                      <w14:solidFill>
                                        <w14:schemeClr w14:val="tx1"/>
                                      </w14:solidFill>
                                    </w14:textFill>
                                  </w:rPr>
                                </m:ctrlPr>
                              </m:sSupPr>
                              <m:e>
                                <m:r>
                                  <m:rPr/>
                                  <w:rPr>
                                    <w:rFonts w:hint="default" w:ascii="Cambria Math" w:hAnsi="Cambria Math" w:cs="Times New Roman"/>
                                    <w:color w:val="000000" w:themeColor="text1"/>
                                    <w:szCs w:val="24"/>
                                    <w:highlight w:val="none"/>
                                    <w14:textFill>
                                      <w14:solidFill>
                                        <w14:schemeClr w14:val="tx1"/>
                                      </w14:solidFill>
                                    </w14:textFill>
                                  </w:rPr>
                                  <m:t>10</m:t>
                                </m:r>
                                <m:ctrlPr>
                                  <w:rPr>
                                    <w:rFonts w:hint="default" w:ascii="Cambria Math" w:hAnsi="Cambria Math" w:cs="Times New Roman"/>
                                    <w:i/>
                                    <w:color w:val="000000" w:themeColor="text1"/>
                                    <w:szCs w:val="24"/>
                                    <w:highlight w:val="none"/>
                                    <w14:textFill>
                                      <w14:solidFill>
                                        <w14:schemeClr w14:val="tx1"/>
                                      </w14:solidFill>
                                    </w14:textFill>
                                  </w:rPr>
                                </m:ctrlPr>
                              </m:e>
                              <m:sup>
                                <m:r>
                                  <m:rPr/>
                                  <w:rPr>
                                    <w:rFonts w:hint="default" w:ascii="Cambria Math" w:hAnsi="Cambria Math" w:cs="Times New Roman"/>
                                    <w:color w:val="000000" w:themeColor="text1"/>
                                    <w:szCs w:val="24"/>
                                    <w:highlight w:val="none"/>
                                    <w14:textFill>
                                      <w14:solidFill>
                                        <w14:schemeClr w14:val="tx1"/>
                                      </w14:solidFill>
                                    </w14:textFill>
                                  </w:rPr>
                                  <m:t>0.1</m:t>
                                </m:r>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Ai</m:t>
                                    </m:r>
                                    <m:ctrlPr>
                                      <w:rPr>
                                        <w:rFonts w:hint="default" w:ascii="Cambria Math" w:hAnsi="Cambria Math" w:cs="Times New Roman"/>
                                        <w:i/>
                                        <w:color w:val="000000" w:themeColor="text1"/>
                                        <w:szCs w:val="24"/>
                                        <w:highlight w:val="none"/>
                                        <w14:textFill>
                                          <w14:solidFill>
                                            <w14:schemeClr w14:val="tx1"/>
                                          </w14:solidFill>
                                        </w14:textFill>
                                      </w:rPr>
                                    </m:ctrlPr>
                                  </m:sub>
                                </m:sSub>
                                <m:ctrlPr>
                                  <w:rPr>
                                    <w:rFonts w:hint="default" w:ascii="Cambria Math" w:hAnsi="Cambria Math" w:cs="Times New Roman"/>
                                    <w:i/>
                                    <w:color w:val="000000" w:themeColor="text1"/>
                                    <w:szCs w:val="24"/>
                                    <w:highlight w:val="none"/>
                                    <w14:textFill>
                                      <w14:solidFill>
                                        <w14:schemeClr w14:val="tx1"/>
                                      </w14:solidFill>
                                    </w14:textFill>
                                  </w:rPr>
                                </m:ctrlPr>
                              </m:sup>
                            </m:sSup>
                            <m:ctrlPr>
                              <w:rPr>
                                <w:rFonts w:hint="default" w:ascii="Cambria Math" w:hAnsi="Cambria Math" w:cs="Times New Roman"/>
                                <w:i/>
                                <w:color w:val="000000" w:themeColor="text1"/>
                                <w:szCs w:val="24"/>
                                <w:highlight w:val="none"/>
                                <w14:textFill>
                                  <w14:solidFill>
                                    <w14:schemeClr w14:val="tx1"/>
                                  </w14:solidFill>
                                </w14:textFill>
                              </w:rPr>
                            </m:ctrlPr>
                          </m:e>
                        </m:nary>
                        <m:r>
                          <m:rPr/>
                          <w:rPr>
                            <w:rFonts w:hint="default" w:ascii="Cambria Math" w:hAnsi="Cambria Math" w:cs="Times New Roman"/>
                            <w:color w:val="000000" w:themeColor="text1"/>
                            <w:szCs w:val="24"/>
                            <w:highlight w:val="none"/>
                            <w14:textFill>
                              <w14:solidFill>
                                <w14:schemeClr w14:val="tx1"/>
                              </w14:solidFill>
                            </w14:textFill>
                          </w:rPr>
                          <m:t>+</m:t>
                        </m:r>
                        <m:nary>
                          <m:naryPr>
                            <m:chr m:val="∑"/>
                            <m:limLoc m:val="undOvr"/>
                            <m:ctrlPr>
                              <w:rPr>
                                <w:rFonts w:hint="default" w:ascii="Cambria Math" w:hAnsi="Cambria Math" w:cs="Times New Roman"/>
                                <w:i/>
                                <w:color w:val="000000" w:themeColor="text1"/>
                                <w:szCs w:val="24"/>
                                <w:highlight w:val="none"/>
                                <w14:textFill>
                                  <w14:solidFill>
                                    <w14:schemeClr w14:val="tx1"/>
                                  </w14:solidFill>
                                </w14:textFill>
                              </w:rPr>
                            </m:ctrlPr>
                          </m:naryPr>
                          <m:sub>
                            <m:r>
                              <m:rPr/>
                              <w:rPr>
                                <w:rFonts w:hint="default" w:ascii="Cambria Math" w:hAnsi="Cambria Math" w:cs="Times New Roman"/>
                                <w:color w:val="000000" w:themeColor="text1"/>
                                <w:szCs w:val="24"/>
                                <w:highlight w:val="none"/>
                                <w14:textFill>
                                  <w14:solidFill>
                                    <w14:schemeClr w14:val="tx1"/>
                                  </w14:solidFill>
                                </w14:textFill>
                              </w:rPr>
                              <m:t>j=1</m:t>
                            </m:r>
                            <m:ctrlPr>
                              <w:rPr>
                                <w:rFonts w:hint="default" w:ascii="Cambria Math" w:hAnsi="Cambria Math" w:cs="Times New Roman"/>
                                <w:i/>
                                <w:color w:val="000000" w:themeColor="text1"/>
                                <w:szCs w:val="24"/>
                                <w:highlight w:val="none"/>
                                <w14:textFill>
                                  <w14:solidFill>
                                    <w14:schemeClr w14:val="tx1"/>
                                  </w14:solidFill>
                                </w14:textFill>
                              </w:rPr>
                            </m:ctrlPr>
                          </m:sub>
                          <m:sup>
                            <m:r>
                              <m:rPr/>
                              <w:rPr>
                                <w:rFonts w:hint="default" w:ascii="Cambria Math" w:hAnsi="Cambria Math" w:cs="Times New Roman"/>
                                <w:color w:val="000000" w:themeColor="text1"/>
                                <w:szCs w:val="24"/>
                                <w:highlight w:val="none"/>
                                <w14:textFill>
                                  <w14:solidFill>
                                    <w14:schemeClr w14:val="tx1"/>
                                  </w14:solidFill>
                                </w14:textFill>
                              </w:rPr>
                              <m:t>M</m:t>
                            </m:r>
                            <m:ctrlPr>
                              <w:rPr>
                                <w:rFonts w:hint="default" w:ascii="Cambria Math" w:hAnsi="Cambria Math" w:cs="Times New Roman"/>
                                <w:i/>
                                <w:color w:val="000000" w:themeColor="text1"/>
                                <w:szCs w:val="24"/>
                                <w:highlight w:val="none"/>
                                <w14:textFill>
                                  <w14:solidFill>
                                    <w14:schemeClr w14:val="tx1"/>
                                  </w14:solidFill>
                                </w14:textFill>
                              </w:rPr>
                            </m:ctrlPr>
                          </m:sup>
                          <m:e>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t</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j</m:t>
                                </m:r>
                                <m:ctrlPr>
                                  <w:rPr>
                                    <w:rFonts w:hint="default" w:ascii="Cambria Math" w:hAnsi="Cambria Math" w:cs="Times New Roman"/>
                                    <w:i/>
                                    <w:color w:val="000000" w:themeColor="text1"/>
                                    <w:szCs w:val="24"/>
                                    <w:highlight w:val="none"/>
                                    <w14:textFill>
                                      <w14:solidFill>
                                        <w14:schemeClr w14:val="tx1"/>
                                      </w14:solidFill>
                                    </w14:textFill>
                                  </w:rPr>
                                </m:ctrlPr>
                              </m:sub>
                            </m:sSub>
                            <m:sSup>
                              <m:sSupPr>
                                <m:ctrlPr>
                                  <w:rPr>
                                    <w:rFonts w:hint="default" w:ascii="Cambria Math" w:hAnsi="Cambria Math" w:cs="Times New Roman"/>
                                    <w:i/>
                                    <w:color w:val="000000" w:themeColor="text1"/>
                                    <w:szCs w:val="24"/>
                                    <w:highlight w:val="none"/>
                                    <w14:textFill>
                                      <w14:solidFill>
                                        <w14:schemeClr w14:val="tx1"/>
                                      </w14:solidFill>
                                    </w14:textFill>
                                  </w:rPr>
                                </m:ctrlPr>
                              </m:sSupPr>
                              <m:e>
                                <m:r>
                                  <m:rPr/>
                                  <w:rPr>
                                    <w:rFonts w:hint="default" w:ascii="Cambria Math" w:hAnsi="Cambria Math" w:cs="Times New Roman"/>
                                    <w:color w:val="000000" w:themeColor="text1"/>
                                    <w:szCs w:val="24"/>
                                    <w:highlight w:val="none"/>
                                    <w14:textFill>
                                      <w14:solidFill>
                                        <w14:schemeClr w14:val="tx1"/>
                                      </w14:solidFill>
                                    </w14:textFill>
                                  </w:rPr>
                                  <m:t>10</m:t>
                                </m:r>
                                <m:ctrlPr>
                                  <w:rPr>
                                    <w:rFonts w:hint="default" w:ascii="Cambria Math" w:hAnsi="Cambria Math" w:cs="Times New Roman"/>
                                    <w:i/>
                                    <w:color w:val="000000" w:themeColor="text1"/>
                                    <w:szCs w:val="24"/>
                                    <w:highlight w:val="none"/>
                                    <w14:textFill>
                                      <w14:solidFill>
                                        <w14:schemeClr w14:val="tx1"/>
                                      </w14:solidFill>
                                    </w14:textFill>
                                  </w:rPr>
                                </m:ctrlPr>
                              </m:e>
                              <m:sup>
                                <m:r>
                                  <m:rPr/>
                                  <w:rPr>
                                    <w:rFonts w:hint="default" w:ascii="Cambria Math" w:hAnsi="Cambria Math" w:cs="Times New Roman"/>
                                    <w:color w:val="000000" w:themeColor="text1"/>
                                    <w:szCs w:val="24"/>
                                    <w:highlight w:val="none"/>
                                    <w14:textFill>
                                      <w14:solidFill>
                                        <w14:schemeClr w14:val="tx1"/>
                                      </w14:solidFill>
                                    </w14:textFill>
                                  </w:rPr>
                                  <m:t>0.1</m:t>
                                </m:r>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Aj</m:t>
                                    </m:r>
                                    <m:ctrlPr>
                                      <w:rPr>
                                        <w:rFonts w:hint="default" w:ascii="Cambria Math" w:hAnsi="Cambria Math" w:cs="Times New Roman"/>
                                        <w:i/>
                                        <w:color w:val="000000" w:themeColor="text1"/>
                                        <w:szCs w:val="24"/>
                                        <w:highlight w:val="none"/>
                                        <w14:textFill>
                                          <w14:solidFill>
                                            <w14:schemeClr w14:val="tx1"/>
                                          </w14:solidFill>
                                        </w14:textFill>
                                      </w:rPr>
                                    </m:ctrlPr>
                                  </m:sub>
                                </m:sSub>
                                <m:ctrlPr>
                                  <w:rPr>
                                    <w:rFonts w:hint="default" w:ascii="Cambria Math" w:hAnsi="Cambria Math" w:cs="Times New Roman"/>
                                    <w:i/>
                                    <w:color w:val="000000" w:themeColor="text1"/>
                                    <w:szCs w:val="24"/>
                                    <w:highlight w:val="none"/>
                                    <w14:textFill>
                                      <w14:solidFill>
                                        <w14:schemeClr w14:val="tx1"/>
                                      </w14:solidFill>
                                    </w14:textFill>
                                  </w:rPr>
                                </m:ctrlPr>
                              </m:sup>
                            </m:sSup>
                            <m:ctrlPr>
                              <w:rPr>
                                <w:rFonts w:hint="default" w:ascii="Cambria Math" w:hAnsi="Cambria Math" w:cs="Times New Roman"/>
                                <w:i/>
                                <w:color w:val="000000" w:themeColor="text1"/>
                                <w:szCs w:val="24"/>
                                <w:highlight w:val="none"/>
                                <w14:textFill>
                                  <w14:solidFill>
                                    <w14:schemeClr w14:val="tx1"/>
                                  </w14:solidFill>
                                </w14:textFill>
                              </w:rPr>
                            </m:ctrlPr>
                          </m:e>
                        </m:nary>
                        <m:ctrlPr>
                          <w:rPr>
                            <w:rFonts w:hint="default" w:ascii="Cambria Math" w:hAnsi="Cambria Math" w:cs="Times New Roman"/>
                            <w:i/>
                            <w:color w:val="000000" w:themeColor="text1"/>
                            <w:szCs w:val="24"/>
                            <w:highlight w:val="none"/>
                            <w14:textFill>
                              <w14:solidFill>
                                <w14:schemeClr w14:val="tx1"/>
                              </w14:solidFill>
                            </w14:textFill>
                          </w:rPr>
                        </m:ctrlPr>
                      </m:e>
                    </m:d>
                    <m:ctrlPr>
                      <w:rPr>
                        <w:rFonts w:hint="default" w:ascii="Cambria Math" w:hAnsi="Cambria Math" w:cs="Times New Roman"/>
                        <w:i/>
                        <w:color w:val="000000" w:themeColor="text1"/>
                        <w:szCs w:val="24"/>
                        <w:highlight w:val="none"/>
                        <w14:textFill>
                          <w14:solidFill>
                            <w14:schemeClr w14:val="tx1"/>
                          </w14:solidFill>
                        </w14:textFill>
                      </w:rPr>
                    </m:ctrlPr>
                  </m:e>
                </m:d>
              </m:oMath>
            </m:oMathPara>
          </w:p>
          <w:p w14:paraId="4F388F10">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式中：</w:t>
            </w: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L</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eqg</m:t>
                  </m:r>
                  <m:ctrlPr>
                    <w:rPr>
                      <w:rFonts w:hint="default" w:ascii="Cambria Math" w:hAnsi="Cambria Math" w:cs="Times New Roman"/>
                      <w:i/>
                      <w:color w:val="000000" w:themeColor="text1"/>
                      <w:szCs w:val="24"/>
                      <w:highlight w:val="none"/>
                      <w14:textFill>
                        <w14:solidFill>
                          <w14:schemeClr w14:val="tx1"/>
                        </w14:solidFill>
                      </w14:textFill>
                    </w:rPr>
                  </m:ctrlPr>
                </m:sub>
              </m:sSub>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建设项目声源在预测点产生的噪声贡献值，dB；</w:t>
            </w:r>
          </w:p>
          <w:p w14:paraId="47D54B9A">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
              <m:r>
                <m:rPr/>
                <w:rPr>
                  <w:rFonts w:hint="default" w:ascii="Cambria Math" w:hAnsi="Cambria Math" w:cs="Times New Roman"/>
                  <w:color w:val="000000" w:themeColor="text1"/>
                  <w:szCs w:val="24"/>
                  <w:highlight w:val="none"/>
                  <w14:textFill>
                    <w14:solidFill>
                      <w14:schemeClr w14:val="tx1"/>
                    </w14:solidFill>
                  </w14:textFill>
                </w:rPr>
                <m:t>T</m:t>
              </m:r>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用于计算等效声级的时间，s；</w:t>
            </w:r>
          </w:p>
          <w:p w14:paraId="5CC23746">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
              <m:r>
                <m:rPr/>
                <w:rPr>
                  <w:rFonts w:hint="default" w:ascii="Cambria Math" w:hAnsi="Cambria Math" w:cs="Times New Roman"/>
                  <w:color w:val="000000" w:themeColor="text1"/>
                  <w:szCs w:val="24"/>
                  <w:highlight w:val="none"/>
                  <w14:textFill>
                    <w14:solidFill>
                      <w14:schemeClr w14:val="tx1"/>
                    </w14:solidFill>
                  </w14:textFill>
                </w:rPr>
                <m:t>N</m:t>
              </m:r>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室外声源个数；</w:t>
            </w:r>
          </w:p>
          <w:p w14:paraId="21CF5A97">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t</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i</m:t>
                  </m:r>
                  <m:ctrlPr>
                    <w:rPr>
                      <w:rFonts w:hint="default" w:ascii="Cambria Math" w:hAnsi="Cambria Math" w:cs="Times New Roman"/>
                      <w:i/>
                      <w:color w:val="000000" w:themeColor="text1"/>
                      <w:szCs w:val="24"/>
                      <w:highlight w:val="none"/>
                      <w14:textFill>
                        <w14:solidFill>
                          <w14:schemeClr w14:val="tx1"/>
                        </w14:solidFill>
                      </w14:textFill>
                    </w:rPr>
                  </m:ctrlPr>
                </m:sub>
              </m:sSub>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在T时间内i声源工作时间，s；</w:t>
            </w:r>
          </w:p>
          <w:p w14:paraId="2AD30462">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
              <m:r>
                <m:rPr/>
                <w:rPr>
                  <w:rFonts w:hint="default" w:ascii="Cambria Math" w:hAnsi="Cambria Math" w:cs="Times New Roman"/>
                  <w:color w:val="000000" w:themeColor="text1"/>
                  <w:szCs w:val="24"/>
                  <w:highlight w:val="none"/>
                  <w14:textFill>
                    <w14:solidFill>
                      <w14:schemeClr w14:val="tx1"/>
                    </w14:solidFill>
                  </w14:textFill>
                </w:rPr>
                <m:t>M</m:t>
              </m:r>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等效室外声源个数；</w:t>
            </w:r>
          </w:p>
          <w:p w14:paraId="7C5BFFE9">
            <w:pPr>
              <w:pStyle w:val="35"/>
              <w:spacing w:line="360" w:lineRule="auto"/>
              <w:ind w:firstLine="560"/>
              <w:rPr>
                <w:rFonts w:hint="default" w:ascii="Times New Roman" w:hAnsi="Times New Roman" w:cs="Times New Roman"/>
                <w:color w:val="000000" w:themeColor="text1"/>
                <w:szCs w:val="24"/>
                <w:highlight w:val="none"/>
                <w14:textFill>
                  <w14:solidFill>
                    <w14:schemeClr w14:val="tx1"/>
                  </w14:solidFill>
                </w14:textFill>
              </w:rPr>
            </w:pPr>
            <m:oMath>
              <m:sSub>
                <m:sSubPr>
                  <m:ctrlPr>
                    <w:rPr>
                      <w:rFonts w:hint="default" w:ascii="Cambria Math" w:hAnsi="Cambria Math" w:cs="Times New Roman"/>
                      <w:i/>
                      <w:color w:val="000000" w:themeColor="text1"/>
                      <w:szCs w:val="24"/>
                      <w:highlight w:val="none"/>
                      <w14:textFill>
                        <w14:solidFill>
                          <w14:schemeClr w14:val="tx1"/>
                        </w14:solidFill>
                      </w14:textFill>
                    </w:rPr>
                  </m:ctrlPr>
                </m:sSubPr>
                <m:e>
                  <m:r>
                    <m:rPr/>
                    <w:rPr>
                      <w:rFonts w:hint="default" w:ascii="Cambria Math" w:hAnsi="Cambria Math" w:cs="Times New Roman"/>
                      <w:color w:val="000000" w:themeColor="text1"/>
                      <w:szCs w:val="24"/>
                      <w:highlight w:val="none"/>
                      <w14:textFill>
                        <w14:solidFill>
                          <w14:schemeClr w14:val="tx1"/>
                        </w14:solidFill>
                      </w14:textFill>
                    </w:rPr>
                    <m:t>t</m:t>
                  </m:r>
                  <m:ctrlPr>
                    <w:rPr>
                      <w:rFonts w:hint="default" w:ascii="Cambria Math" w:hAnsi="Cambria Math" w:cs="Times New Roman"/>
                      <w:i/>
                      <w:color w:val="000000" w:themeColor="text1"/>
                      <w:szCs w:val="24"/>
                      <w:highlight w:val="none"/>
                      <w14:textFill>
                        <w14:solidFill>
                          <w14:schemeClr w14:val="tx1"/>
                        </w14:solidFill>
                      </w14:textFill>
                    </w:rPr>
                  </m:ctrlPr>
                </m:e>
                <m:sub>
                  <m:r>
                    <m:rPr/>
                    <w:rPr>
                      <w:rFonts w:hint="default" w:ascii="Cambria Math" w:hAnsi="Cambria Math" w:cs="Times New Roman"/>
                      <w:color w:val="000000" w:themeColor="text1"/>
                      <w:szCs w:val="24"/>
                      <w:highlight w:val="none"/>
                      <w14:textFill>
                        <w14:solidFill>
                          <w14:schemeClr w14:val="tx1"/>
                        </w14:solidFill>
                      </w14:textFill>
                    </w:rPr>
                    <m:t>j</m:t>
                  </m:r>
                  <m:ctrlPr>
                    <w:rPr>
                      <w:rFonts w:hint="default" w:ascii="Cambria Math" w:hAnsi="Cambria Math" w:cs="Times New Roman"/>
                      <w:i/>
                      <w:color w:val="000000" w:themeColor="text1"/>
                      <w:szCs w:val="24"/>
                      <w:highlight w:val="none"/>
                      <w14:textFill>
                        <w14:solidFill>
                          <w14:schemeClr w14:val="tx1"/>
                        </w14:solidFill>
                      </w14:textFill>
                    </w:rPr>
                  </m:ctrlPr>
                </m:sub>
              </m:sSub>
            </m:oMath>
            <w:r>
              <w:rPr>
                <w:rFonts w:hint="eastAsia" w:hAnsi="Cambria Math" w:eastAsia="宋体" w:cs="Times New Roman"/>
                <w:i w:val="0"/>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在T时间内j声源工作时间，s。</w:t>
            </w:r>
          </w:p>
          <w:p w14:paraId="14B5BB49">
            <w:pPr>
              <w:ind w:left="433" w:leftChars="202" w:hanging="9" w:hangingChars="4"/>
              <w:jc w:val="left"/>
              <w:outlineLvl w:val="9"/>
              <w:rPr>
                <w:rFonts w:hint="default" w:ascii="Times New Roman" w:hAnsi="Times New Roman" w:cs="Times New Roman"/>
                <w:b/>
                <w:bCs/>
                <w:color w:val="000000"/>
                <w:szCs w:val="24"/>
                <w:highlight w:val="none"/>
              </w:rPr>
            </w:pPr>
            <w:r>
              <w:rPr>
                <w:rFonts w:hint="default" w:ascii="Times New Roman" w:hAnsi="Times New Roman" w:eastAsia="Arial" w:cs="Times New Roman"/>
                <w:b w:val="0"/>
                <w:bCs w:val="0"/>
                <w:snapToGrid w:val="0"/>
                <w:color w:val="000000" w:themeColor="text1"/>
                <w:kern w:val="24"/>
                <w:sz w:val="24"/>
                <w:szCs w:val="24"/>
                <w:highlight w:val="none"/>
                <w14:textFill>
                  <w14:solidFill>
                    <w14:schemeClr w14:val="tx1"/>
                  </w14:solidFill>
                </w14:textFill>
              </w:rPr>
              <w:t>综上，项目厂界噪声影响预测结果见下表</w:t>
            </w:r>
            <w:r>
              <w:rPr>
                <w:rFonts w:hint="default" w:ascii="Times New Roman" w:hAnsi="Times New Roman" w:eastAsia="宋体" w:cs="Times New Roman"/>
                <w:b w:val="0"/>
                <w:bCs w:val="0"/>
                <w:color w:val="auto"/>
                <w:kern w:val="2"/>
                <w:sz w:val="24"/>
                <w:szCs w:val="24"/>
                <w:highlight w:val="none"/>
              </w:rPr>
              <w:t>4</w:t>
            </w:r>
            <w:r>
              <w:rPr>
                <w:rFonts w:hint="default" w:ascii="Times New Roman" w:hAnsi="Times New Roman" w:eastAsia="宋体" w:cs="Times New Roman"/>
                <w:b w:val="0"/>
                <w:bCs w:val="0"/>
                <w:color w:val="auto"/>
                <w:kern w:val="2"/>
                <w:sz w:val="24"/>
                <w:szCs w:val="24"/>
                <w:highlight w:val="none"/>
                <w:lang w:val="en-US" w:eastAsia="zh-CN"/>
              </w:rPr>
              <w:t>.3-3</w:t>
            </w:r>
            <w:r>
              <w:rPr>
                <w:rFonts w:hint="default" w:ascii="Times New Roman" w:hAnsi="Times New Roman" w:eastAsia="宋体" w:cs="Times New Roman"/>
                <w:b w:val="0"/>
                <w:bCs w:val="0"/>
                <w:color w:val="auto"/>
                <w:kern w:val="2"/>
                <w:sz w:val="24"/>
                <w:szCs w:val="24"/>
                <w:highlight w:val="none"/>
              </w:rPr>
              <w:t>。</w:t>
            </w:r>
          </w:p>
          <w:p w14:paraId="1A95A111">
            <w:pPr>
              <w:pStyle w:val="35"/>
              <w:adjustRightInd/>
              <w:spacing w:before="120" w:beforeLines="50" w:line="240" w:lineRule="auto"/>
              <w:ind w:firstLine="0"/>
              <w:jc w:val="center"/>
              <w:rPr>
                <w:rFonts w:hint="default" w:ascii="Times New Roman" w:hAnsi="Times New Roman" w:cs="Times New Roman"/>
                <w:b/>
                <w:bCs/>
                <w:color w:val="000000"/>
                <w:szCs w:val="24"/>
                <w:highlight w:val="none"/>
              </w:rPr>
            </w:pPr>
            <w:r>
              <w:rPr>
                <w:rFonts w:hint="default" w:ascii="Times New Roman" w:hAnsi="Times New Roman" w:cs="Times New Roman"/>
                <w:b/>
                <w:bCs/>
                <w:color w:val="000000"/>
                <w:szCs w:val="24"/>
                <w:highlight w:val="none"/>
              </w:rPr>
              <w:t>表4</w:t>
            </w:r>
            <w:r>
              <w:rPr>
                <w:rFonts w:hint="eastAsia" w:ascii="Times New Roman" w:hAnsi="Times New Roman" w:eastAsia="宋体" w:cs="Times New Roman"/>
                <w:b/>
                <w:bCs/>
                <w:color w:val="000000"/>
                <w:szCs w:val="24"/>
                <w:highlight w:val="none"/>
                <w:lang w:val="en-US" w:eastAsia="zh-CN"/>
              </w:rPr>
              <w:t>.3-3</w:t>
            </w:r>
            <w:r>
              <w:rPr>
                <w:rFonts w:hint="default" w:ascii="Times New Roman" w:hAnsi="Times New Roman" w:cs="Times New Roman"/>
                <w:b/>
                <w:bCs/>
                <w:color w:val="000000"/>
                <w:szCs w:val="24"/>
                <w:highlight w:val="none"/>
              </w:rPr>
              <w:t xml:space="preserve"> 项目厂界噪声影响预测结果</w:t>
            </w:r>
          </w:p>
          <w:tbl>
            <w:tblPr>
              <w:tblStyle w:val="17"/>
              <w:tblW w:w="8237" w:type="dxa"/>
              <w:tblInd w:w="-9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2000"/>
              <w:gridCol w:w="1653"/>
              <w:gridCol w:w="1654"/>
              <w:gridCol w:w="1503"/>
            </w:tblGrid>
            <w:tr w14:paraId="65E5F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27" w:type="dxa"/>
                  <w:noWrap w:val="0"/>
                  <w:vAlign w:val="center"/>
                </w:tcPr>
                <w:p w14:paraId="215D0A80">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预测点位及名称</w:t>
                  </w:r>
                </w:p>
              </w:tc>
              <w:tc>
                <w:tcPr>
                  <w:tcW w:w="2000" w:type="dxa"/>
                  <w:noWrap w:val="0"/>
                  <w:vAlign w:val="center"/>
                </w:tcPr>
                <w:p w14:paraId="081951F3">
                  <w:pPr>
                    <w:pStyle w:val="35"/>
                    <w:spacing w:line="340" w:lineRule="exact"/>
                    <w:ind w:firstLine="0"/>
                    <w:jc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等效到室外声源与厂界的距离</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cs="Times New Roman"/>
                      <w:color w:val="000000"/>
                      <w:sz w:val="21"/>
                      <w:szCs w:val="21"/>
                      <w:highlight w:val="none"/>
                    </w:rPr>
                    <w:t>m</w:t>
                  </w:r>
                  <w:r>
                    <w:rPr>
                      <w:rFonts w:hint="eastAsia" w:ascii="Times New Roman" w:hAnsi="Times New Roman" w:eastAsia="宋体" w:cs="Times New Roman"/>
                      <w:color w:val="000000"/>
                      <w:sz w:val="21"/>
                      <w:szCs w:val="21"/>
                      <w:highlight w:val="none"/>
                      <w:lang w:eastAsia="zh-CN"/>
                    </w:rPr>
                    <w:t>）</w:t>
                  </w:r>
                </w:p>
              </w:tc>
              <w:tc>
                <w:tcPr>
                  <w:tcW w:w="1653" w:type="dxa"/>
                  <w:noWrap w:val="0"/>
                  <w:vAlign w:val="center"/>
                </w:tcPr>
                <w:p w14:paraId="5DE4EFB7">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贡献值</w:t>
                  </w:r>
                </w:p>
                <w:p w14:paraId="19844558">
                  <w:pPr>
                    <w:pStyle w:val="35"/>
                    <w:spacing w:line="340" w:lineRule="exact"/>
                    <w:ind w:firstLine="0"/>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cs="Times New Roman"/>
                      <w:color w:val="000000"/>
                      <w:sz w:val="21"/>
                      <w:szCs w:val="21"/>
                      <w:highlight w:val="none"/>
                    </w:rPr>
                    <w:t>dB</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cs="Times New Roman"/>
                      <w:color w:val="000000"/>
                      <w:sz w:val="21"/>
                      <w:szCs w:val="21"/>
                      <w:highlight w:val="none"/>
                    </w:rPr>
                    <w:t>A</w:t>
                  </w:r>
                  <w:r>
                    <w:rPr>
                      <w:rFonts w:hint="eastAsia" w:ascii="Times New Roman" w:hAnsi="Times New Roman" w:eastAsia="宋体" w:cs="Times New Roman"/>
                      <w:color w:val="000000"/>
                      <w:sz w:val="21"/>
                      <w:szCs w:val="21"/>
                      <w:highlight w:val="none"/>
                      <w:lang w:eastAsia="zh-CN"/>
                    </w:rPr>
                    <w:t>)〕</w:t>
                  </w:r>
                </w:p>
              </w:tc>
              <w:tc>
                <w:tcPr>
                  <w:tcW w:w="1654" w:type="dxa"/>
                  <w:noWrap w:val="0"/>
                  <w:vAlign w:val="center"/>
                </w:tcPr>
                <w:p w14:paraId="72E51CB1">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标准值</w:t>
                  </w:r>
                </w:p>
                <w:p w14:paraId="546BA12F">
                  <w:pPr>
                    <w:pStyle w:val="35"/>
                    <w:spacing w:line="340" w:lineRule="exact"/>
                    <w:ind w:firstLine="0"/>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cs="Times New Roman"/>
                      <w:color w:val="000000"/>
                      <w:sz w:val="21"/>
                      <w:szCs w:val="21"/>
                      <w:highlight w:val="none"/>
                    </w:rPr>
                    <w:t>dB</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cs="Times New Roman"/>
                      <w:color w:val="000000"/>
                      <w:sz w:val="21"/>
                      <w:szCs w:val="21"/>
                      <w:highlight w:val="none"/>
                    </w:rPr>
                    <w:t>A</w:t>
                  </w:r>
                  <w:r>
                    <w:rPr>
                      <w:rFonts w:hint="eastAsia" w:ascii="Times New Roman" w:hAnsi="Times New Roman" w:eastAsia="宋体" w:cs="Times New Roman"/>
                      <w:color w:val="000000"/>
                      <w:sz w:val="21"/>
                      <w:szCs w:val="21"/>
                      <w:highlight w:val="none"/>
                      <w:lang w:eastAsia="zh-CN"/>
                    </w:rPr>
                    <w:t>)〕</w:t>
                  </w:r>
                </w:p>
              </w:tc>
              <w:tc>
                <w:tcPr>
                  <w:tcW w:w="1503" w:type="dxa"/>
                  <w:noWrap w:val="0"/>
                  <w:vAlign w:val="center"/>
                </w:tcPr>
                <w:p w14:paraId="30E6BF12">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达标</w:t>
                  </w:r>
                </w:p>
                <w:p w14:paraId="05FC9FED">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情况</w:t>
                  </w:r>
                </w:p>
              </w:tc>
            </w:tr>
            <w:tr w14:paraId="3B0C0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427" w:type="dxa"/>
                  <w:noWrap w:val="0"/>
                  <w:vAlign w:val="center"/>
                </w:tcPr>
                <w:p w14:paraId="0D5B6B61">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东侧厂界</w:t>
                  </w:r>
                </w:p>
              </w:tc>
              <w:tc>
                <w:tcPr>
                  <w:tcW w:w="2000" w:type="dxa"/>
                  <w:noWrap w:val="0"/>
                  <w:vAlign w:val="center"/>
                </w:tcPr>
                <w:p w14:paraId="099BAF1F">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653" w:type="dxa"/>
                  <w:noWrap w:val="0"/>
                  <w:vAlign w:val="center"/>
                </w:tcPr>
                <w:p w14:paraId="6DDE6625">
                  <w:pPr>
                    <w:pStyle w:val="35"/>
                    <w:spacing w:line="340" w:lineRule="exact"/>
                    <w:ind w:firstLine="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14.41</w:t>
                  </w:r>
                </w:p>
              </w:tc>
              <w:tc>
                <w:tcPr>
                  <w:tcW w:w="1654" w:type="dxa"/>
                  <w:noWrap w:val="0"/>
                  <w:vAlign w:val="center"/>
                </w:tcPr>
                <w:p w14:paraId="2D1884A5">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65</w:t>
                  </w:r>
                </w:p>
              </w:tc>
              <w:tc>
                <w:tcPr>
                  <w:tcW w:w="1503" w:type="dxa"/>
                  <w:noWrap w:val="0"/>
                  <w:vAlign w:val="center"/>
                </w:tcPr>
                <w:p w14:paraId="1C52A9E7">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达标</w:t>
                  </w:r>
                </w:p>
              </w:tc>
            </w:tr>
            <w:tr w14:paraId="7B22E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427" w:type="dxa"/>
                  <w:noWrap w:val="0"/>
                  <w:vAlign w:val="center"/>
                </w:tcPr>
                <w:p w14:paraId="5E145D22">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南侧厂界</w:t>
                  </w:r>
                </w:p>
              </w:tc>
              <w:tc>
                <w:tcPr>
                  <w:tcW w:w="2000" w:type="dxa"/>
                  <w:noWrap w:val="0"/>
                  <w:vAlign w:val="center"/>
                </w:tcPr>
                <w:p w14:paraId="4A375142">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653" w:type="dxa"/>
                  <w:noWrap w:val="0"/>
                  <w:vAlign w:val="center"/>
                </w:tcPr>
                <w:p w14:paraId="3CC93639">
                  <w:pPr>
                    <w:pStyle w:val="35"/>
                    <w:spacing w:line="340" w:lineRule="exact"/>
                    <w:ind w:firstLine="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4.19</w:t>
                  </w:r>
                </w:p>
              </w:tc>
              <w:tc>
                <w:tcPr>
                  <w:tcW w:w="1654" w:type="dxa"/>
                  <w:noWrap w:val="0"/>
                  <w:vAlign w:val="center"/>
                </w:tcPr>
                <w:p w14:paraId="48DF0A31">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65</w:t>
                  </w:r>
                </w:p>
              </w:tc>
              <w:tc>
                <w:tcPr>
                  <w:tcW w:w="1503" w:type="dxa"/>
                  <w:noWrap w:val="0"/>
                  <w:vAlign w:val="center"/>
                </w:tcPr>
                <w:p w14:paraId="22555B56">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达标</w:t>
                  </w:r>
                </w:p>
              </w:tc>
            </w:tr>
            <w:tr w14:paraId="2DF2B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427" w:type="dxa"/>
                  <w:noWrap w:val="0"/>
                  <w:vAlign w:val="center"/>
                </w:tcPr>
                <w:p w14:paraId="630439CD">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西侧厂界</w:t>
                  </w:r>
                </w:p>
              </w:tc>
              <w:tc>
                <w:tcPr>
                  <w:tcW w:w="2000" w:type="dxa"/>
                  <w:noWrap w:val="0"/>
                  <w:vAlign w:val="center"/>
                </w:tcPr>
                <w:p w14:paraId="3FA6E00B">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653" w:type="dxa"/>
                  <w:noWrap w:val="0"/>
                  <w:vAlign w:val="center"/>
                </w:tcPr>
                <w:p w14:paraId="6EB0BD77">
                  <w:pPr>
                    <w:pStyle w:val="35"/>
                    <w:spacing w:line="340" w:lineRule="exact"/>
                    <w:ind w:firstLine="0"/>
                    <w:jc w:val="center"/>
                    <w:rPr>
                      <w:rFonts w:hint="default" w:ascii="Times New Roman" w:hAnsi="Times New Roman" w:eastAsia="宋体" w:cs="Times New Roman"/>
                      <w:bCs/>
                      <w:spacing w:val="-10"/>
                      <w:sz w:val="21"/>
                      <w:szCs w:val="21"/>
                      <w:highlight w:val="none"/>
                      <w:lang w:val="en-US" w:eastAsia="zh-CN"/>
                    </w:rPr>
                  </w:pPr>
                  <w:r>
                    <w:rPr>
                      <w:rFonts w:hint="eastAsia" w:ascii="Times New Roman" w:hAnsi="Times New Roman" w:eastAsia="宋体" w:cs="Times New Roman"/>
                      <w:bCs/>
                      <w:spacing w:val="-10"/>
                      <w:sz w:val="21"/>
                      <w:szCs w:val="21"/>
                      <w:highlight w:val="none"/>
                      <w:lang w:val="en-US" w:eastAsia="zh-CN"/>
                    </w:rPr>
                    <w:t>13.82</w:t>
                  </w:r>
                </w:p>
              </w:tc>
              <w:tc>
                <w:tcPr>
                  <w:tcW w:w="1654" w:type="dxa"/>
                  <w:noWrap w:val="0"/>
                  <w:vAlign w:val="center"/>
                </w:tcPr>
                <w:p w14:paraId="52BA24C2">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65</w:t>
                  </w:r>
                </w:p>
              </w:tc>
              <w:tc>
                <w:tcPr>
                  <w:tcW w:w="1503" w:type="dxa"/>
                  <w:noWrap w:val="0"/>
                  <w:vAlign w:val="center"/>
                </w:tcPr>
                <w:p w14:paraId="5E830F67">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达标</w:t>
                  </w:r>
                </w:p>
              </w:tc>
            </w:tr>
            <w:tr w14:paraId="55764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27" w:type="dxa"/>
                  <w:noWrap w:val="0"/>
                  <w:vAlign w:val="center"/>
                </w:tcPr>
                <w:p w14:paraId="6DBA803B">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北侧厂界</w:t>
                  </w:r>
                </w:p>
              </w:tc>
              <w:tc>
                <w:tcPr>
                  <w:tcW w:w="2000" w:type="dxa"/>
                  <w:noWrap w:val="0"/>
                  <w:vAlign w:val="center"/>
                </w:tcPr>
                <w:p w14:paraId="44E5F244">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1653" w:type="dxa"/>
                  <w:noWrap w:val="0"/>
                  <w:vAlign w:val="center"/>
                </w:tcPr>
                <w:p w14:paraId="558A15B9">
                  <w:pPr>
                    <w:pStyle w:val="35"/>
                    <w:spacing w:line="340" w:lineRule="exact"/>
                    <w:ind w:firstLine="0"/>
                    <w:jc w:val="center"/>
                    <w:rPr>
                      <w:rFonts w:hint="default" w:ascii="Times New Roman" w:hAnsi="Times New Roman" w:eastAsia="宋体" w:cs="Times New Roman"/>
                      <w:bCs/>
                      <w:spacing w:val="-10"/>
                      <w:sz w:val="21"/>
                      <w:szCs w:val="21"/>
                      <w:highlight w:val="none"/>
                      <w:lang w:val="en-US" w:eastAsia="zh-CN"/>
                    </w:rPr>
                  </w:pPr>
                  <w:r>
                    <w:rPr>
                      <w:rFonts w:hint="eastAsia" w:ascii="Times New Roman" w:hAnsi="Times New Roman" w:eastAsia="宋体" w:cs="Times New Roman"/>
                      <w:bCs/>
                      <w:spacing w:val="-10"/>
                      <w:sz w:val="21"/>
                      <w:szCs w:val="21"/>
                      <w:highlight w:val="none"/>
                      <w:lang w:val="en-US" w:eastAsia="zh-CN"/>
                    </w:rPr>
                    <w:t>3.45</w:t>
                  </w:r>
                </w:p>
              </w:tc>
              <w:tc>
                <w:tcPr>
                  <w:tcW w:w="1654" w:type="dxa"/>
                  <w:noWrap w:val="0"/>
                  <w:vAlign w:val="center"/>
                </w:tcPr>
                <w:p w14:paraId="407DE3C5">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65</w:t>
                  </w:r>
                </w:p>
              </w:tc>
              <w:tc>
                <w:tcPr>
                  <w:tcW w:w="1503" w:type="dxa"/>
                  <w:noWrap w:val="0"/>
                  <w:vAlign w:val="center"/>
                </w:tcPr>
                <w:p w14:paraId="14BA4D8A">
                  <w:pPr>
                    <w:pStyle w:val="35"/>
                    <w:spacing w:line="340" w:lineRule="exact"/>
                    <w:ind w:firstLine="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达标</w:t>
                  </w:r>
                </w:p>
              </w:tc>
            </w:tr>
          </w:tbl>
          <w:p w14:paraId="26C4D860">
            <w:pPr>
              <w:pStyle w:val="12"/>
              <w:pBdr>
                <w:bottom w:val="none" w:color="auto" w:sz="0" w:space="0"/>
              </w:pBdr>
              <w:spacing w:line="360" w:lineRule="auto"/>
              <w:ind w:firstLine="240" w:firstLineChars="100"/>
              <w:jc w:val="left"/>
              <w:rPr>
                <w:rFonts w:hint="default" w:ascii="Times New Roman" w:hAnsi="Times New Roman" w:cs="Times New Roman"/>
                <w:sz w:val="24"/>
                <w:highlight w:val="none"/>
              </w:rPr>
            </w:pPr>
            <w:r>
              <w:rPr>
                <w:rFonts w:hint="default" w:ascii="Times New Roman" w:hAnsi="Times New Roman" w:cs="Times New Roman"/>
                <w:sz w:val="24"/>
                <w:highlight w:val="none"/>
              </w:rPr>
              <w:t>由</w:t>
            </w:r>
            <w:r>
              <w:rPr>
                <w:rFonts w:hint="default" w:ascii="Times New Roman" w:hAnsi="Times New Roman" w:cs="Times New Roman"/>
                <w:color w:val="000000"/>
                <w:kern w:val="24"/>
                <w:sz w:val="24"/>
                <w:highlight w:val="none"/>
              </w:rPr>
              <w:t>表4</w:t>
            </w:r>
            <w:r>
              <w:rPr>
                <w:rFonts w:hint="eastAsia" w:ascii="Times New Roman" w:hAnsi="Times New Roman" w:eastAsia="宋体" w:cs="Times New Roman"/>
                <w:color w:val="000000"/>
                <w:kern w:val="24"/>
                <w:sz w:val="24"/>
                <w:highlight w:val="none"/>
                <w:lang w:val="en-US" w:eastAsia="zh-CN"/>
              </w:rPr>
              <w:t>.3-3</w:t>
            </w:r>
            <w:r>
              <w:rPr>
                <w:rFonts w:hint="default" w:ascii="Times New Roman" w:hAnsi="Times New Roman" w:cs="Times New Roman"/>
                <w:sz w:val="24"/>
                <w:highlight w:val="none"/>
              </w:rPr>
              <w:t>的预测结果可知，运营期项目厂界噪声排放符合《工业企业厂界环境噪声排放标准》</w:t>
            </w:r>
            <w:r>
              <w:rPr>
                <w:rFonts w:hint="eastAsia" w:ascii="Times New Roman" w:hAnsi="Times New Roman" w:eastAsia="宋体" w:cs="Times New Roman"/>
                <w:sz w:val="24"/>
                <w:highlight w:val="none"/>
                <w:lang w:eastAsia="zh-CN"/>
              </w:rPr>
              <w:t>（GB 12348-2008）</w:t>
            </w:r>
            <w:r>
              <w:rPr>
                <w:rFonts w:hint="default" w:ascii="Times New Roman" w:hAnsi="Times New Roman" w:cs="Times New Roman"/>
                <w:sz w:val="24"/>
                <w:highlight w:val="none"/>
              </w:rPr>
              <w:t>3类标准，项目运营后，对最近敏感目标</w:t>
            </w:r>
            <w:r>
              <w:rPr>
                <w:rFonts w:hint="eastAsia" w:ascii="Times New Roman" w:hAnsi="Times New Roman" w:eastAsia="宋体" w:cs="Times New Roman"/>
                <w:sz w:val="24"/>
                <w:highlight w:val="none"/>
                <w:lang w:val="en-US" w:eastAsia="zh-CN"/>
              </w:rPr>
              <w:t>孔里村</w:t>
            </w:r>
            <w:r>
              <w:rPr>
                <w:rFonts w:hint="default" w:ascii="Times New Roman" w:hAnsi="Times New Roman" w:cs="Times New Roman"/>
                <w:sz w:val="24"/>
                <w:highlight w:val="none"/>
              </w:rPr>
              <w:t>噪声贡献值较小，</w:t>
            </w:r>
            <w:r>
              <w:rPr>
                <w:rFonts w:hint="eastAsia" w:ascii="Times New Roman" w:hAnsi="Times New Roman" w:eastAsia="宋体" w:cs="Times New Roman"/>
                <w:sz w:val="24"/>
                <w:highlight w:val="none"/>
                <w:lang w:val="en-US" w:eastAsia="zh-CN"/>
              </w:rPr>
              <w:t>远</w:t>
            </w:r>
            <w:r>
              <w:rPr>
                <w:rFonts w:hint="default" w:ascii="Times New Roman" w:hAnsi="Times New Roman" w:cs="Times New Roman"/>
                <w:sz w:val="24"/>
                <w:highlight w:val="none"/>
              </w:rPr>
              <w:t>低于其背景噪声值，叠加背景噪声后可符合《声环境质量标准》（GB3096-2008）中2类标准。对周边环境影响不大。</w:t>
            </w:r>
          </w:p>
          <w:p w14:paraId="7E049961">
            <w:pPr>
              <w:adjustRightInd w:val="0"/>
              <w:snapToGrid w:val="0"/>
              <w:spacing w:line="360" w:lineRule="auto"/>
              <w:rPr>
                <w:rFonts w:hint="default" w:ascii="Times New Roman" w:hAnsi="Times New Roman" w:cs="Times New Roman"/>
                <w:b/>
                <w:bCs/>
                <w:color w:val="000000"/>
                <w:kern w:val="0"/>
                <w:sz w:val="24"/>
                <w:highlight w:val="none"/>
              </w:rPr>
            </w:pPr>
            <w:r>
              <w:rPr>
                <w:rFonts w:hint="default" w:ascii="Times New Roman" w:hAnsi="Times New Roman" w:cs="Times New Roman"/>
                <w:b/>
                <w:bCs/>
                <w:color w:val="000000"/>
                <w:kern w:val="0"/>
                <w:sz w:val="24"/>
                <w:highlight w:val="none"/>
              </w:rPr>
              <w:t>4.3.3 运营期噪声防治措施</w:t>
            </w:r>
          </w:p>
          <w:p w14:paraId="1FEDBA26">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根据对本项目运营期噪声环境影响分析可得：各厂界可达到《工业企业厂界环境噪声排放标准》（</w:t>
            </w:r>
            <w:r>
              <w:rPr>
                <w:rFonts w:hint="eastAsia" w:ascii="Times New Roman" w:hAnsi="Times New Roman" w:eastAsia="宋体" w:cs="Times New Roman"/>
                <w:sz w:val="24"/>
                <w:highlight w:val="none"/>
                <w:lang w:eastAsia="zh-CN"/>
              </w:rPr>
              <w:t>GB 12348-2008</w:t>
            </w:r>
            <w:r>
              <w:rPr>
                <w:rFonts w:hint="default" w:ascii="Times New Roman" w:hAnsi="Times New Roman" w:eastAsia="宋体" w:cs="Times New Roman"/>
                <w:sz w:val="24"/>
                <w:highlight w:val="none"/>
              </w:rPr>
              <w:t>）中相应标准限值。因此项目运营后产生的噪声对周边声环境产生影响较小。但厂方应对高噪声设备采取隔声、减震等综合措施进行降噪，加大设备用房的隔声效果，确保厂界噪声达标排放。本次环评建议厂方采取以下措施来减小噪声对外界环境的影响：</w:t>
            </w:r>
          </w:p>
          <w:p w14:paraId="3C22596F">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w:t>
            </w:r>
            <w:r>
              <w:rPr>
                <w:rFonts w:hint="default" w:ascii="Times New Roman" w:hAnsi="Times New Roman" w:eastAsia="宋体" w:cs="Times New Roman"/>
                <w:sz w:val="24"/>
                <w:highlight w:val="none"/>
                <w:lang w:val="en-US" w:eastAsia="zh-CN"/>
              </w:rPr>
              <w:t>高频机</w:t>
            </w:r>
            <w:r>
              <w:rPr>
                <w:rFonts w:hint="default" w:ascii="Times New Roman" w:hAnsi="Times New Roman" w:eastAsia="宋体" w:cs="Times New Roman"/>
                <w:sz w:val="24"/>
                <w:highlight w:val="none"/>
              </w:rPr>
              <w:t>等高噪声设备安装消声设备；</w:t>
            </w:r>
          </w:p>
          <w:p w14:paraId="0946A9DD">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2、厂房安装隔声门窗，合理布局，使高噪声设备尽可能远离噪声敏感点；</w:t>
            </w:r>
          </w:p>
          <w:p w14:paraId="28EA618B">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优先选用低噪声设备并启用夜间静音运行模式；对噪声源进行双重隔声封装，厂区布局中将高噪声工序集中安排在远离敏感点的区域；严格控制夜间物料搬运、车辆鸣笛等间歇性噪声，并加强设备夜间润滑维护；同时应主动公示夜间生产安排，建立与周边社区的应急沟通机制，通过技术强化、管理细化与社区协同，最大限度降低夜间噪声对居民生活的干扰。</w:t>
            </w:r>
          </w:p>
          <w:p w14:paraId="4F8E60A6">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rPr>
            </w:pPr>
            <w:r>
              <w:rPr>
                <w:rFonts w:hint="eastAsia" w:ascii="Times New Roman" w:hAnsi="Times New Roman" w:eastAsia="宋体" w:cs="Times New Roman"/>
                <w:sz w:val="24"/>
                <w:highlight w:val="none"/>
                <w:lang w:val="en-US" w:eastAsia="zh-CN"/>
              </w:rPr>
              <w:t>4、</w:t>
            </w:r>
            <w:r>
              <w:rPr>
                <w:rFonts w:hint="default" w:ascii="Times New Roman" w:hAnsi="Times New Roman" w:eastAsia="宋体" w:cs="Times New Roman"/>
                <w:sz w:val="24"/>
                <w:highlight w:val="none"/>
              </w:rPr>
              <w:t>加强设备的安装、调试、使用和维护管理。建立设备使用档案，做好日常维护保养，使其处于良好的工况下运行。正确地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通过以上降噪措施，有效降低设备噪声对厂界的影响程度，确保厂界噪声符合《工业企业厂界环境噪声排放标准》</w:t>
            </w:r>
            <w:r>
              <w:rPr>
                <w:rFonts w:hint="eastAsia" w:ascii="Times New Roman" w:hAnsi="Times New Roman" w:eastAsia="宋体" w:cs="Times New Roman"/>
                <w:sz w:val="24"/>
                <w:highlight w:val="none"/>
                <w:lang w:eastAsia="zh-CN"/>
              </w:rPr>
              <w:t>（GB 12348-2008）</w:t>
            </w:r>
            <w:r>
              <w:rPr>
                <w:rFonts w:hint="default" w:ascii="Times New Roman" w:hAnsi="Times New Roman" w:eastAsia="宋体" w:cs="Times New Roman"/>
                <w:sz w:val="24"/>
                <w:highlight w:val="none"/>
              </w:rPr>
              <w:t>中的3类标准要求，措施可行。</w:t>
            </w:r>
          </w:p>
          <w:p w14:paraId="2371C1A2">
            <w:pPr>
              <w:pStyle w:val="12"/>
              <w:pBdr>
                <w:bottom w:val="none" w:color="auto" w:sz="0" w:space="0"/>
              </w:pBdr>
              <w:spacing w:line="360" w:lineRule="auto"/>
              <w:jc w:val="left"/>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4.3.4 噪声监测要求</w:t>
            </w:r>
          </w:p>
          <w:p w14:paraId="3E2D6EE1">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委托单位应定期或不定期委托有检测资质单位对厂界噪声进行监测。根据</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排污许可证申请与核发技术规范 工业噪声</w:t>
            </w:r>
            <w:r>
              <w:rPr>
                <w:rFonts w:hint="eastAsia" w:ascii="Times New Roman" w:hAnsi="Times New Roman" w:eastAsia="宋体" w:cs="Times New Roman"/>
                <w:color w:val="auto"/>
                <w:sz w:val="24"/>
                <w:highlight w:val="none"/>
                <w:lang w:val="en-US" w:eastAsia="zh-CN"/>
              </w:rPr>
              <w:t>》（HJ 1301-2023）</w:t>
            </w:r>
            <w:r>
              <w:rPr>
                <w:rFonts w:hint="default" w:ascii="Times New Roman" w:hAnsi="Times New Roman" w:eastAsia="宋体" w:cs="Times New Roman"/>
                <w:sz w:val="24"/>
                <w:highlight w:val="none"/>
                <w:lang w:val="en-US" w:eastAsia="zh-CN"/>
              </w:rPr>
              <w:t>，运营期污染源监测计划见下表4</w:t>
            </w:r>
            <w:r>
              <w:rPr>
                <w:rFonts w:hint="eastAsia" w:ascii="Times New Roman" w:hAnsi="Times New Roman" w:eastAsia="宋体" w:cs="Times New Roman"/>
                <w:sz w:val="24"/>
                <w:highlight w:val="none"/>
                <w:lang w:val="en-US" w:eastAsia="zh-CN"/>
              </w:rPr>
              <w:t>.3-4</w:t>
            </w:r>
            <w:r>
              <w:rPr>
                <w:rFonts w:hint="default" w:ascii="Times New Roman" w:hAnsi="Times New Roman" w:eastAsia="宋体" w:cs="Times New Roman"/>
                <w:sz w:val="24"/>
                <w:highlight w:val="none"/>
                <w:lang w:val="en-US" w:eastAsia="zh-CN"/>
              </w:rPr>
              <w:t>。</w:t>
            </w:r>
          </w:p>
          <w:p w14:paraId="12A3B894">
            <w:pPr>
              <w:pStyle w:val="32"/>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表4</w:t>
            </w:r>
            <w:r>
              <w:rPr>
                <w:rFonts w:hint="eastAsia" w:ascii="Times New Roman" w:hAnsi="Times New Roman" w:eastAsia="宋体" w:cs="Times New Roman"/>
                <w:color w:val="000000"/>
                <w:highlight w:val="none"/>
                <w:lang w:val="en-US" w:eastAsia="zh-CN"/>
              </w:rPr>
              <w:t>.3-4</w:t>
            </w:r>
            <w:r>
              <w:rPr>
                <w:rFonts w:hint="default" w:ascii="Times New Roman" w:hAnsi="Times New Roman" w:eastAsia="宋体" w:cs="Times New Roman"/>
                <w:color w:val="000000"/>
                <w:highlight w:val="none"/>
              </w:rPr>
              <w:t xml:space="preserve"> </w:t>
            </w:r>
            <w:r>
              <w:rPr>
                <w:rFonts w:hint="default" w:ascii="Times New Roman" w:hAnsi="Times New Roman" w:eastAsia="宋体" w:cs="Times New Roman"/>
                <w:color w:val="000000"/>
                <w:highlight w:val="none"/>
                <w:lang w:val="en-US" w:eastAsia="zh-CN"/>
              </w:rPr>
              <w:t>噪声</w:t>
            </w:r>
            <w:r>
              <w:rPr>
                <w:rFonts w:hint="default" w:ascii="Times New Roman" w:hAnsi="Times New Roman" w:eastAsia="宋体" w:cs="Times New Roman"/>
                <w:color w:val="000000"/>
                <w:highlight w:val="none"/>
              </w:rPr>
              <w:t>监测计划一览表</w:t>
            </w:r>
          </w:p>
          <w:tbl>
            <w:tblPr>
              <w:tblStyle w:val="17"/>
              <w:tblW w:w="8297" w:type="dxa"/>
              <w:tblInd w:w="-12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080"/>
              <w:gridCol w:w="810"/>
              <w:gridCol w:w="1440"/>
              <w:gridCol w:w="1476"/>
              <w:gridCol w:w="2709"/>
            </w:tblGrid>
            <w:tr w14:paraId="519F0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82" w:type="dxa"/>
                  <w:noWrap w:val="0"/>
                  <w:vAlign w:val="center"/>
                </w:tcPr>
                <w:p w14:paraId="793353C7">
                  <w:pPr>
                    <w:pStyle w:val="33"/>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项目</w:t>
                  </w:r>
                </w:p>
              </w:tc>
              <w:tc>
                <w:tcPr>
                  <w:tcW w:w="1080" w:type="dxa"/>
                  <w:noWrap w:val="0"/>
                  <w:vAlign w:val="center"/>
                </w:tcPr>
                <w:p w14:paraId="1C770D9B">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检测项目</w:t>
                  </w:r>
                </w:p>
              </w:tc>
              <w:tc>
                <w:tcPr>
                  <w:tcW w:w="810" w:type="dxa"/>
                  <w:noWrap w:val="0"/>
                  <w:vAlign w:val="center"/>
                </w:tcPr>
                <w:p w14:paraId="58E6B821">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监测点位</w:t>
                  </w:r>
                </w:p>
              </w:tc>
              <w:tc>
                <w:tcPr>
                  <w:tcW w:w="1440" w:type="dxa"/>
                  <w:noWrap w:val="0"/>
                  <w:vAlign w:val="center"/>
                </w:tcPr>
                <w:p w14:paraId="463C4597">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实施机构</w:t>
                  </w:r>
                </w:p>
              </w:tc>
              <w:tc>
                <w:tcPr>
                  <w:tcW w:w="1476" w:type="dxa"/>
                  <w:noWrap w:val="0"/>
                  <w:vAlign w:val="center"/>
                </w:tcPr>
                <w:p w14:paraId="195DF109">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常规监测频次</w:t>
                  </w:r>
                </w:p>
              </w:tc>
              <w:tc>
                <w:tcPr>
                  <w:tcW w:w="2709" w:type="dxa"/>
                  <w:noWrap w:val="0"/>
                  <w:vAlign w:val="center"/>
                </w:tcPr>
                <w:p w14:paraId="78C32DD5">
                  <w:pPr>
                    <w:pStyle w:val="33"/>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执行标准</w:t>
                  </w:r>
                </w:p>
              </w:tc>
            </w:tr>
            <w:tr w14:paraId="3E736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2" w:type="dxa"/>
                  <w:noWrap w:val="0"/>
                  <w:vAlign w:val="center"/>
                </w:tcPr>
                <w:p w14:paraId="31D49929">
                  <w:pPr>
                    <w:pStyle w:val="33"/>
                    <w:spacing w:line="340" w:lineRule="exact"/>
                    <w:rPr>
                      <w:rFonts w:hint="default" w:ascii="Times New Roman" w:hAnsi="Times New Roman" w:eastAsia="宋体" w:cs="Times New Roman"/>
                      <w:color w:val="000000"/>
                      <w:highlight w:val="none"/>
                      <w:lang w:eastAsia="zh-CN"/>
                    </w:rPr>
                  </w:pPr>
                  <w:r>
                    <w:rPr>
                      <w:rFonts w:hint="default" w:ascii="Times New Roman" w:hAnsi="Times New Roman" w:cs="Times New Roman"/>
                      <w:color w:val="000000"/>
                      <w:highlight w:val="none"/>
                      <w:lang w:val="en-US" w:eastAsia="zh-CN"/>
                    </w:rPr>
                    <w:t>噪声</w:t>
                  </w:r>
                </w:p>
              </w:tc>
              <w:tc>
                <w:tcPr>
                  <w:tcW w:w="1080" w:type="dxa"/>
                  <w:noWrap w:val="0"/>
                  <w:vAlign w:val="center"/>
                </w:tcPr>
                <w:p w14:paraId="3DAF96F0">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连续等效A等级</w:t>
                  </w:r>
                </w:p>
              </w:tc>
              <w:tc>
                <w:tcPr>
                  <w:tcW w:w="810" w:type="dxa"/>
                  <w:noWrap w:val="0"/>
                  <w:vAlign w:val="center"/>
                </w:tcPr>
                <w:p w14:paraId="5F5D6B60">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厂界</w:t>
                  </w:r>
                </w:p>
              </w:tc>
              <w:tc>
                <w:tcPr>
                  <w:tcW w:w="1440" w:type="dxa"/>
                  <w:noWrap w:val="0"/>
                  <w:vAlign w:val="center"/>
                </w:tcPr>
                <w:p w14:paraId="15F6C600">
                  <w:pPr>
                    <w:pStyle w:val="33"/>
                    <w:spacing w:line="340" w:lineRule="exact"/>
                    <w:rPr>
                      <w:rFonts w:hint="default" w:ascii="Times New Roman" w:hAnsi="Times New Roman" w:cs="Times New Roman"/>
                      <w:color w:val="000000"/>
                      <w:highlight w:val="none"/>
                    </w:rPr>
                  </w:pPr>
                  <w:r>
                    <w:rPr>
                      <w:rFonts w:hint="default" w:ascii="Times New Roman" w:hAnsi="Times New Roman" w:cs="Times New Roman"/>
                      <w:color w:val="000000"/>
                      <w:highlight w:val="none"/>
                    </w:rPr>
                    <w:t>委托有资质单位监测</w:t>
                  </w:r>
                </w:p>
              </w:tc>
              <w:tc>
                <w:tcPr>
                  <w:tcW w:w="1476" w:type="dxa"/>
                  <w:noWrap w:val="0"/>
                  <w:vAlign w:val="center"/>
                </w:tcPr>
                <w:p w14:paraId="04558356">
                  <w:pPr>
                    <w:pStyle w:val="33"/>
                    <w:spacing w:line="340" w:lineRule="exact"/>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1次/季度</w:t>
                  </w:r>
                </w:p>
              </w:tc>
              <w:tc>
                <w:tcPr>
                  <w:tcW w:w="2709" w:type="dxa"/>
                  <w:noWrap w:val="0"/>
                  <w:vAlign w:val="center"/>
                </w:tcPr>
                <w:p w14:paraId="2367AF39">
                  <w:pPr>
                    <w:pStyle w:val="33"/>
                    <w:spacing w:line="340" w:lineRule="exact"/>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《工业企业厂界环境噪声排放标准》</w:t>
                  </w:r>
                  <w:r>
                    <w:rPr>
                      <w:rFonts w:hint="eastAsia" w:ascii="Times New Roman" w:hAnsi="Times New Roman" w:cs="Times New Roman"/>
                      <w:color w:val="000000"/>
                      <w:highlight w:val="none"/>
                      <w:lang w:val="en-US" w:eastAsia="zh-CN"/>
                    </w:rPr>
                    <w:t>（GB 12348-2008）</w:t>
                  </w:r>
                  <w:r>
                    <w:rPr>
                      <w:rFonts w:hint="default" w:ascii="Times New Roman" w:hAnsi="Times New Roman" w:cs="Times New Roman"/>
                      <w:color w:val="000000"/>
                      <w:highlight w:val="none"/>
                      <w:lang w:val="en-US" w:eastAsia="zh-CN"/>
                    </w:rPr>
                    <w:t>3类标准</w:t>
                  </w:r>
                </w:p>
              </w:tc>
            </w:tr>
          </w:tbl>
          <w:p w14:paraId="27417542">
            <w:pPr>
              <w:pStyle w:val="12"/>
              <w:pBdr>
                <w:bottom w:val="none" w:color="auto" w:sz="0" w:space="0"/>
              </w:pBdr>
              <w:spacing w:before="120" w:beforeLines="50" w:line="360" w:lineRule="auto"/>
              <w:jc w:val="left"/>
              <w:rPr>
                <w:rFonts w:hint="default" w:ascii="Times New Roman" w:hAnsi="Times New Roman" w:cs="Times New Roman"/>
                <w:b/>
                <w:bCs/>
                <w:color w:val="000000"/>
                <w:sz w:val="28"/>
                <w:szCs w:val="28"/>
                <w:highlight w:val="none"/>
              </w:rPr>
            </w:pPr>
            <w:r>
              <w:rPr>
                <w:rFonts w:hint="default" w:ascii="Times New Roman" w:hAnsi="Times New Roman" w:cs="Times New Roman"/>
                <w:b/>
                <w:bCs/>
                <w:color w:val="000000"/>
                <w:sz w:val="28"/>
                <w:szCs w:val="28"/>
                <w:highlight w:val="none"/>
              </w:rPr>
              <w:t>4.4</w:t>
            </w:r>
            <w:r>
              <w:rPr>
                <w:rFonts w:hint="eastAsia" w:ascii="Times New Roman" w:hAnsi="Times New Roman" w:eastAsia="宋体" w:cs="Times New Roman"/>
                <w:b/>
                <w:bCs/>
                <w:color w:val="000000"/>
                <w:sz w:val="28"/>
                <w:szCs w:val="28"/>
                <w:highlight w:val="none"/>
                <w:lang w:val="en-US" w:eastAsia="zh-CN"/>
              </w:rPr>
              <w:t xml:space="preserve"> </w:t>
            </w:r>
            <w:r>
              <w:rPr>
                <w:rFonts w:hint="default" w:ascii="Times New Roman" w:hAnsi="Times New Roman" w:cs="Times New Roman"/>
                <w:b/>
                <w:bCs/>
                <w:color w:val="000000"/>
                <w:sz w:val="28"/>
                <w:szCs w:val="28"/>
                <w:highlight w:val="none"/>
              </w:rPr>
              <w:t>固体废物</w:t>
            </w:r>
          </w:p>
          <w:p w14:paraId="5AA4EB14">
            <w:pPr>
              <w:adjustRightInd w:val="0"/>
              <w:snapToGrid w:val="0"/>
              <w:spacing w:line="360" w:lineRule="auto"/>
              <w:rPr>
                <w:rFonts w:hint="default" w:ascii="Times New Roman" w:hAnsi="Times New Roman" w:cs="Times New Roman"/>
                <w:b/>
                <w:bCs/>
                <w:color w:val="000000"/>
                <w:kern w:val="0"/>
                <w:sz w:val="24"/>
                <w:highlight w:val="none"/>
              </w:rPr>
            </w:pPr>
            <w:r>
              <w:rPr>
                <w:rFonts w:hint="default" w:ascii="Times New Roman" w:hAnsi="Times New Roman" w:cs="Times New Roman"/>
                <w:b/>
                <w:bCs/>
                <w:color w:val="000000"/>
                <w:kern w:val="0"/>
                <w:sz w:val="24"/>
                <w:highlight w:val="none"/>
              </w:rPr>
              <w:t>4.4.1 运营期</w:t>
            </w:r>
            <w:r>
              <w:rPr>
                <w:rFonts w:hint="eastAsia" w:ascii="Times New Roman" w:hAnsi="Times New Roman" w:eastAsia="宋体" w:cs="Times New Roman"/>
                <w:b/>
                <w:bCs/>
                <w:color w:val="000000"/>
                <w:kern w:val="0"/>
                <w:sz w:val="24"/>
                <w:highlight w:val="none"/>
                <w:lang w:eastAsia="zh-CN"/>
              </w:rPr>
              <w:t>固体废物</w:t>
            </w:r>
            <w:r>
              <w:rPr>
                <w:rFonts w:hint="default" w:ascii="Times New Roman" w:hAnsi="Times New Roman" w:cs="Times New Roman"/>
                <w:b/>
                <w:bCs/>
                <w:color w:val="000000"/>
                <w:kern w:val="0"/>
                <w:sz w:val="24"/>
                <w:highlight w:val="none"/>
              </w:rPr>
              <w:t>源强核算</w:t>
            </w:r>
          </w:p>
          <w:p w14:paraId="28FB8A68">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z w:val="24"/>
                <w:highlight w:val="none"/>
                <w:lang w:val="en-US" w:eastAsia="zh-CN"/>
              </w:rPr>
            </w:pPr>
            <w:r>
              <w:rPr>
                <w:rFonts w:hint="eastAsia" w:ascii="宋体" w:hAnsi="宋体" w:eastAsia="宋体" w:cs="宋体"/>
                <w:sz w:val="24"/>
                <w:highlight w:val="none"/>
                <w:lang w:eastAsia="zh-CN"/>
              </w:rPr>
              <w:t>（</w:t>
            </w:r>
            <w:r>
              <w:rPr>
                <w:rFonts w:hint="eastAsia" w:ascii="Times New Roman" w:hAnsi="Times New Roman" w:eastAsia="宋体" w:cs="Times New Roman"/>
                <w:sz w:val="24"/>
                <w:highlight w:val="none"/>
                <w:lang w:val="en-US" w:eastAsia="zh-CN"/>
              </w:rPr>
              <w:t>1）一般工业废物</w:t>
            </w:r>
          </w:p>
          <w:p w14:paraId="71E278CD">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①一般废包装材料</w:t>
            </w:r>
          </w:p>
          <w:p w14:paraId="2C343788">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z w:val="24"/>
                <w:highlight w:val="none"/>
                <w:lang w:val="en-US" w:eastAsia="zh-CN"/>
              </w:rPr>
              <w:t>PVC膜、TPU膜等原辅料使用和产品包装过程中将产生一定量的废包装材料，</w:t>
            </w:r>
            <w:r>
              <w:rPr>
                <w:rFonts w:hint="eastAsia" w:ascii="Times New Roman" w:hAnsi="Times New Roman" w:eastAsia="宋体" w:cs="Times New Roman"/>
                <w:color w:val="auto"/>
                <w:sz w:val="24"/>
                <w:highlight w:val="none"/>
                <w:lang w:val="en-US" w:eastAsia="zh-CN"/>
              </w:rPr>
              <w:t>根据《固体废物分类与代码目录》（公告2024年第4号），固废代码为：类别代码：SW17可再生类废物，废物代码：900-009-S17。不涉及危化品包装袋，根据类比相同企业得出废包装材料约为0.3t/a，企业收集后出售给物资公司。</w:t>
            </w:r>
          </w:p>
          <w:p w14:paraId="13E82511">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②塑料边角料及不合格品</w:t>
            </w:r>
          </w:p>
          <w:p w14:paraId="6AAC2CAC">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color w:val="auto"/>
                <w:sz w:val="24"/>
                <w:highlight w:val="none"/>
                <w:lang w:val="en-US" w:eastAsia="zh-CN"/>
              </w:rPr>
              <w:t>本项目在裁切、剪边过程中会有少量的塑料边角料产生，另生产检验工序会产生不合格品，根据《固体</w:t>
            </w:r>
            <w:r>
              <w:rPr>
                <w:rFonts w:hint="eastAsia" w:ascii="Times New Roman" w:hAnsi="Times New Roman" w:eastAsia="宋体" w:cs="Times New Roman"/>
                <w:sz w:val="24"/>
                <w:highlight w:val="none"/>
                <w:lang w:val="en-US" w:eastAsia="zh-CN"/>
              </w:rPr>
              <w:t>废物分类与代码目录》（公告2024年第4号），固废代码为：类别代码：SW17可再生类废物，废物代码：900-003-S17。塑料边角料、不合格品产生量按PVC膜、TPU膜、UV油墨用量的1%计算，项目所用原料用量为14061.6t/a，则项目塑料件边角料、废次品产生量为140.616t/a，属于一般固废，收集后委托环卫部门清运。</w:t>
            </w:r>
          </w:p>
          <w:p w14:paraId="0C073BB8">
            <w:pPr>
              <w:pStyle w:val="12"/>
              <w:keepNext w:val="0"/>
              <w:keepLines w:val="0"/>
              <w:pageBreakBefore w:val="0"/>
              <w:widowControl/>
              <w:numPr>
                <w:ilvl w:val="0"/>
                <w:numId w:val="4"/>
              </w:numPr>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危险废物</w:t>
            </w:r>
          </w:p>
          <w:p w14:paraId="1A703181">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①废原料空桶</w:t>
            </w:r>
            <w:r>
              <w:rPr>
                <w:rFonts w:hint="eastAsia" w:ascii="Times New Roman" w:hAnsi="Times New Roman" w:eastAsia="宋体" w:cs="Times New Roman"/>
                <w:sz w:val="24"/>
                <w:highlight w:val="none"/>
                <w:lang w:val="en-US" w:eastAsia="zh-CN"/>
              </w:rPr>
              <w:t>及废抹布</w:t>
            </w:r>
          </w:p>
          <w:p w14:paraId="38000EFE">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项目生产</w:t>
            </w:r>
            <w:r>
              <w:rPr>
                <w:rFonts w:hint="eastAsia" w:ascii="Times New Roman" w:hAnsi="Times New Roman" w:eastAsia="宋体" w:cs="Times New Roman"/>
                <w:sz w:val="24"/>
                <w:highlight w:val="none"/>
                <w:lang w:val="en-US" w:eastAsia="zh-CN"/>
              </w:rPr>
              <w:t>所</w:t>
            </w:r>
            <w:r>
              <w:rPr>
                <w:rFonts w:hint="default" w:ascii="Times New Roman" w:hAnsi="Times New Roman" w:eastAsia="宋体" w:cs="Times New Roman"/>
                <w:sz w:val="24"/>
                <w:highlight w:val="none"/>
                <w:lang w:val="en-US" w:eastAsia="zh-CN"/>
              </w:rPr>
              <w:t>用的油墨</w:t>
            </w:r>
            <w:r>
              <w:rPr>
                <w:rFonts w:hint="eastAsia" w:ascii="Times New Roman" w:hAnsi="Times New Roman" w:eastAsia="宋体" w:cs="Times New Roman"/>
                <w:sz w:val="24"/>
                <w:highlight w:val="none"/>
                <w:lang w:val="en-US" w:eastAsia="zh-CN"/>
              </w:rPr>
              <w:t>会</w:t>
            </w:r>
            <w:r>
              <w:rPr>
                <w:rFonts w:hint="default" w:ascii="Times New Roman" w:hAnsi="Times New Roman" w:eastAsia="宋体" w:cs="Times New Roman"/>
                <w:sz w:val="24"/>
                <w:highlight w:val="none"/>
                <w:lang w:val="en-US" w:eastAsia="zh-CN"/>
              </w:rPr>
              <w:t>产生废原料空桶，产生量约0.2t/a</w:t>
            </w:r>
            <w:r>
              <w:rPr>
                <w:rFonts w:hint="eastAsia" w:ascii="Times New Roman" w:hAnsi="Times New Roman" w:eastAsia="宋体" w:cs="Times New Roman"/>
                <w:sz w:val="24"/>
                <w:highlight w:val="none"/>
                <w:lang w:val="en-US" w:eastAsia="zh-CN"/>
              </w:rPr>
              <w:t>，擦拭网版产生的废抹布产生量约0.4t/a</w:t>
            </w:r>
            <w:r>
              <w:rPr>
                <w:rFonts w:hint="default" w:ascii="Times New Roman" w:hAnsi="Times New Roman" w:eastAsia="宋体" w:cs="Times New Roman"/>
                <w:sz w:val="24"/>
                <w:highlight w:val="none"/>
                <w:lang w:val="en-US" w:eastAsia="zh-CN"/>
              </w:rPr>
              <w:t>。根据《国家危险废物名录（2021年版）》（2021年1月1日），废原料空桶</w:t>
            </w:r>
            <w:r>
              <w:rPr>
                <w:rFonts w:hint="eastAsia" w:ascii="Times New Roman" w:hAnsi="Times New Roman" w:eastAsia="宋体" w:cs="Times New Roman"/>
                <w:sz w:val="24"/>
                <w:highlight w:val="none"/>
                <w:lang w:val="en-US" w:eastAsia="zh-CN"/>
              </w:rPr>
              <w:t>、废抹布</w:t>
            </w:r>
            <w:r>
              <w:rPr>
                <w:rFonts w:hint="default" w:ascii="Times New Roman" w:hAnsi="Times New Roman" w:eastAsia="宋体" w:cs="Times New Roman"/>
                <w:sz w:val="24"/>
                <w:highlight w:val="none"/>
                <w:lang w:val="en-US" w:eastAsia="zh-CN"/>
              </w:rPr>
              <w:t>属于HW49其他废物</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废物代码为900-041-49。</w:t>
            </w:r>
          </w:p>
          <w:p w14:paraId="0A73E10B">
            <w:pPr>
              <w:pStyle w:val="12"/>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②废活性炭</w:t>
            </w:r>
          </w:p>
          <w:p w14:paraId="024C997A">
            <w:pPr>
              <w:spacing w:line="360" w:lineRule="auto"/>
              <w:ind w:firstLine="480" w:firstLineChars="200"/>
              <w:rPr>
                <w:rFonts w:hint="default" w:ascii="Times New Roman" w:hAnsi="Times New Roman" w:eastAsia="宋体" w:cs="Times New Roman"/>
                <w:bCs/>
                <w:sz w:val="24"/>
                <w:highlight w:val="none"/>
                <w:lang w:val="en-US" w:eastAsia="zh-CN"/>
              </w:rPr>
            </w:pPr>
            <w:r>
              <w:rPr>
                <w:rFonts w:hint="default" w:ascii="Times New Roman" w:hAnsi="Times New Roman" w:eastAsia="宋体" w:cs="Times New Roman"/>
                <w:sz w:val="24"/>
                <w:highlight w:val="none"/>
                <w:lang w:val="en-US" w:eastAsia="zh-CN"/>
              </w:rPr>
              <w:t>项目有机废气采用</w:t>
            </w:r>
            <w:r>
              <w:rPr>
                <w:rFonts w:hint="eastAsia" w:ascii="Times New Roman" w:hAnsi="Times New Roman" w:eastAsia="宋体" w:cs="Times New Roman"/>
                <w:sz w:val="24"/>
                <w:highlight w:val="none"/>
                <w:lang w:val="en-US" w:eastAsia="zh-CN"/>
              </w:rPr>
              <w:t>二级活性炭吸附装置</w:t>
            </w:r>
            <w:r>
              <w:rPr>
                <w:rFonts w:hint="default" w:ascii="Times New Roman" w:hAnsi="Times New Roman" w:eastAsia="宋体" w:cs="Times New Roman"/>
                <w:sz w:val="24"/>
                <w:highlight w:val="none"/>
                <w:lang w:val="en-US" w:eastAsia="zh-CN"/>
              </w:rPr>
              <w:t>处理，活性炭定期更换会产生废活性炭。查询《国家危险废物名录</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2021年版</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》，废活性炭属HW49类危险废物，废物代码为：900-039-49。参照《厦门市生态环境局关于加强挥发性有机物污染防治工作的通知》</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厦环大气</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2022</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15号</w:t>
            </w:r>
            <w:r>
              <w:rPr>
                <w:rFonts w:hint="eastAsia" w:ascii="Times New Roman" w:hAnsi="Times New Roman" w:eastAsia="宋体" w:cs="Times New Roman"/>
                <w:sz w:val="24"/>
                <w:highlight w:val="none"/>
                <w:lang w:val="en-US" w:eastAsia="zh-CN"/>
              </w:rPr>
              <w:t>）</w:t>
            </w:r>
            <w:r>
              <w:rPr>
                <w:rFonts w:hint="default" w:ascii="Times New Roman" w:hAnsi="Times New Roman" w:cs="Times New Roman"/>
                <w:bCs/>
                <w:sz w:val="24"/>
                <w:highlight w:val="none"/>
              </w:rPr>
              <w:t>中</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采用不具备脱附功能的吸附法治理废气的，每万m</w:t>
            </w:r>
            <w:r>
              <w:rPr>
                <w:rFonts w:hint="default" w:ascii="Times New Roman" w:hAnsi="Times New Roman" w:cs="Times New Roman"/>
                <w:bCs/>
                <w:sz w:val="24"/>
                <w:highlight w:val="none"/>
                <w:vertAlign w:val="superscript"/>
              </w:rPr>
              <w:t>3</w:t>
            </w:r>
            <w:r>
              <w:rPr>
                <w:rFonts w:hint="default" w:ascii="Times New Roman" w:hAnsi="Times New Roman" w:cs="Times New Roman"/>
                <w:bCs/>
                <w:sz w:val="24"/>
                <w:highlight w:val="none"/>
              </w:rPr>
              <w:t>/h设计风量的吸附剂装填量应不小于1m</w:t>
            </w:r>
            <w:r>
              <w:rPr>
                <w:rFonts w:hint="default" w:ascii="Times New Roman" w:hAnsi="Times New Roman" w:eastAsia="宋体" w:cs="Times New Roman"/>
                <w:bCs/>
                <w:sz w:val="24"/>
                <w:highlight w:val="none"/>
                <w:vertAlign w:val="superscript"/>
                <w:lang w:val="en-US" w:eastAsia="zh-CN"/>
              </w:rPr>
              <w:t>3</w:t>
            </w:r>
            <w:r>
              <w:rPr>
                <w:rFonts w:hint="eastAsia"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w:t>
            </w:r>
            <w:r>
              <w:rPr>
                <w:rFonts w:hint="default" w:ascii="Times New Roman" w:hAnsi="Times New Roman" w:eastAsia="宋体" w:cs="Times New Roman"/>
                <w:bCs/>
                <w:sz w:val="24"/>
                <w:highlight w:val="none"/>
                <w:lang w:val="en-US" w:eastAsia="zh-CN"/>
              </w:rPr>
              <w:t>本项目</w:t>
            </w:r>
            <w:r>
              <w:rPr>
                <w:rFonts w:hint="default" w:ascii="Times New Roman" w:hAnsi="Times New Roman" w:cs="Times New Roman"/>
                <w:bCs/>
                <w:sz w:val="24"/>
                <w:highlight w:val="none"/>
              </w:rPr>
              <w:t>拟配套的风机风量</w:t>
            </w:r>
            <w:r>
              <w:rPr>
                <w:rFonts w:hint="default" w:ascii="Times New Roman" w:hAnsi="Times New Roman" w:eastAsia="宋体" w:cs="Times New Roman"/>
                <w:bCs/>
                <w:sz w:val="24"/>
                <w:highlight w:val="none"/>
                <w:lang w:val="en-US" w:eastAsia="zh-CN"/>
              </w:rPr>
              <w:t>约</w:t>
            </w:r>
            <w:r>
              <w:rPr>
                <w:rFonts w:hint="default" w:ascii="Times New Roman" w:hAnsi="Times New Roman" w:cs="Times New Roman"/>
                <w:bCs/>
                <w:sz w:val="24"/>
                <w:highlight w:val="none"/>
              </w:rPr>
              <w:t>为10000m</w:t>
            </w:r>
            <w:r>
              <w:rPr>
                <w:rFonts w:hint="eastAsia" w:ascii="Times New Roman" w:hAnsi="Times New Roman" w:eastAsia="宋体" w:cs="Times New Roman"/>
                <w:bCs/>
                <w:sz w:val="24"/>
                <w:highlight w:val="none"/>
                <w:vertAlign w:val="superscript"/>
                <w:lang w:val="en-US" w:eastAsia="zh-CN"/>
              </w:rPr>
              <w:t>3</w:t>
            </w:r>
            <w:r>
              <w:rPr>
                <w:rFonts w:hint="default" w:ascii="Times New Roman" w:hAnsi="Times New Roman" w:cs="Times New Roman"/>
                <w:bCs/>
                <w:sz w:val="24"/>
                <w:highlight w:val="none"/>
              </w:rPr>
              <w:t>/h，配套的活性炭吸附箱可装量至少为1.0m</w:t>
            </w:r>
            <w:r>
              <w:rPr>
                <w:rFonts w:hint="default" w:ascii="Times New Roman" w:hAnsi="Times New Roman" w:eastAsia="宋体" w:cs="Times New Roman"/>
                <w:bCs/>
                <w:sz w:val="24"/>
                <w:highlight w:val="none"/>
                <w:vertAlign w:val="superscript"/>
                <w:lang w:val="en-US" w:eastAsia="zh-CN"/>
              </w:rPr>
              <w:t>3</w:t>
            </w:r>
            <w:r>
              <w:rPr>
                <w:rFonts w:hint="default"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使用的活性炭密度约为0.5t/m</w:t>
            </w:r>
            <w:r>
              <w:rPr>
                <w:rFonts w:hint="eastAsia" w:ascii="Times New Roman" w:hAnsi="Times New Roman" w:eastAsia="宋体" w:cs="Times New Roman"/>
                <w:bCs/>
                <w:sz w:val="24"/>
                <w:highlight w:val="none"/>
                <w:vertAlign w:val="superscript"/>
                <w:lang w:val="en-US" w:eastAsia="zh-CN"/>
              </w:rPr>
              <w:t>3</w:t>
            </w:r>
            <w:r>
              <w:rPr>
                <w:rFonts w:hint="default" w:ascii="Times New Roman" w:hAnsi="Times New Roman" w:eastAsia="宋体" w:cs="Times New Roman"/>
                <w:bCs/>
                <w:sz w:val="24"/>
                <w:highlight w:val="none"/>
                <w:lang w:eastAsia="zh-CN"/>
              </w:rPr>
              <w:t>，</w:t>
            </w:r>
            <w:r>
              <w:rPr>
                <w:rFonts w:hint="default" w:ascii="Times New Roman" w:hAnsi="Times New Roman" w:cs="Times New Roman"/>
                <w:bCs/>
                <w:sz w:val="24"/>
                <w:highlight w:val="none"/>
              </w:rPr>
              <w:t>则配套的活性炭吸附箱一次</w:t>
            </w:r>
            <w:r>
              <w:rPr>
                <w:rFonts w:hint="default" w:ascii="Times New Roman" w:hAnsi="Times New Roman" w:eastAsia="宋体" w:cs="Times New Roman"/>
                <w:bCs/>
                <w:sz w:val="24"/>
                <w:highlight w:val="none"/>
                <w:lang w:val="en-US" w:eastAsia="zh-CN"/>
              </w:rPr>
              <w:t>最多</w:t>
            </w:r>
            <w:r>
              <w:rPr>
                <w:rFonts w:hint="default" w:ascii="Times New Roman" w:hAnsi="Times New Roman" w:cs="Times New Roman"/>
                <w:bCs/>
                <w:sz w:val="24"/>
                <w:highlight w:val="none"/>
              </w:rPr>
              <w:t>可装活性炭约为0.5t，项目</w:t>
            </w:r>
            <w:r>
              <w:rPr>
                <w:rFonts w:hint="eastAsia" w:ascii="Times New Roman" w:hAnsi="Times New Roman" w:eastAsia="宋体" w:cs="Times New Roman"/>
                <w:bCs/>
                <w:sz w:val="24"/>
                <w:highlight w:val="none"/>
                <w:lang w:eastAsia="zh-CN"/>
              </w:rPr>
              <w:t>二级活性炭吸附装置</w:t>
            </w:r>
            <w:r>
              <w:rPr>
                <w:rFonts w:hint="default" w:ascii="Times New Roman" w:hAnsi="Times New Roman" w:cs="Times New Roman"/>
                <w:bCs/>
                <w:sz w:val="24"/>
                <w:highlight w:val="none"/>
              </w:rPr>
              <w:t>活性炭装填量详见表4</w:t>
            </w:r>
            <w:r>
              <w:rPr>
                <w:rFonts w:hint="eastAsia" w:ascii="Times New Roman" w:hAnsi="Times New Roman" w:eastAsia="宋体" w:cs="Times New Roman"/>
                <w:bCs/>
                <w:sz w:val="24"/>
                <w:highlight w:val="none"/>
                <w:lang w:val="en-US" w:eastAsia="zh-CN"/>
              </w:rPr>
              <w:t>.4</w:t>
            </w:r>
            <w:r>
              <w:rPr>
                <w:rFonts w:hint="default" w:ascii="Times New Roman" w:hAnsi="Times New Roman" w:eastAsia="宋体" w:cs="Times New Roman"/>
                <w:bCs/>
                <w:sz w:val="24"/>
                <w:highlight w:val="none"/>
                <w:lang w:val="en-US" w:eastAsia="zh-CN"/>
              </w:rPr>
              <w:t>-</w:t>
            </w:r>
            <w:r>
              <w:rPr>
                <w:rFonts w:hint="eastAsia" w:ascii="Times New Roman" w:hAnsi="Times New Roman" w:eastAsia="宋体" w:cs="Times New Roman"/>
                <w:bCs/>
                <w:sz w:val="24"/>
                <w:highlight w:val="none"/>
                <w:lang w:val="en-US" w:eastAsia="zh-CN"/>
              </w:rPr>
              <w:t>1</w:t>
            </w:r>
            <w:r>
              <w:rPr>
                <w:rFonts w:hint="default" w:ascii="Times New Roman" w:hAnsi="Times New Roman" w:cs="Times New Roman"/>
                <w:bCs/>
                <w:sz w:val="24"/>
                <w:highlight w:val="none"/>
              </w:rPr>
              <w:t>。</w:t>
            </w:r>
          </w:p>
          <w:p w14:paraId="57F49ECD">
            <w:pPr>
              <w:spacing w:before="120" w:beforeLines="5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表4</w:t>
            </w:r>
            <w:r>
              <w:rPr>
                <w:rFonts w:hint="eastAsia" w:ascii="Times New Roman" w:hAnsi="Times New Roman" w:eastAsia="宋体" w:cs="Times New Roman"/>
                <w:b/>
                <w:sz w:val="24"/>
                <w:highlight w:val="none"/>
                <w:lang w:val="en-US" w:eastAsia="zh-CN"/>
              </w:rPr>
              <w:t xml:space="preserve">.4-1 </w:t>
            </w:r>
            <w:r>
              <w:rPr>
                <w:rFonts w:hint="default" w:ascii="Times New Roman" w:hAnsi="Times New Roman" w:cs="Times New Roman"/>
                <w:b/>
                <w:sz w:val="24"/>
                <w:highlight w:val="none"/>
              </w:rPr>
              <w:t>项目</w:t>
            </w:r>
            <w:r>
              <w:rPr>
                <w:rFonts w:hint="eastAsia" w:ascii="Times New Roman" w:hAnsi="Times New Roman" w:eastAsia="宋体" w:cs="Times New Roman"/>
                <w:b/>
                <w:sz w:val="24"/>
                <w:highlight w:val="none"/>
                <w:lang w:eastAsia="zh-CN"/>
              </w:rPr>
              <w:t>二级活性炭吸附装置</w:t>
            </w:r>
            <w:r>
              <w:rPr>
                <w:rFonts w:hint="default" w:ascii="Times New Roman" w:hAnsi="Times New Roman" w:cs="Times New Roman"/>
                <w:b/>
                <w:sz w:val="24"/>
                <w:highlight w:val="none"/>
              </w:rPr>
              <w:t>活性炭装填量一览表</w:t>
            </w:r>
          </w:p>
          <w:tbl>
            <w:tblPr>
              <w:tblStyle w:val="18"/>
              <w:tblW w:w="8239" w:type="dxa"/>
              <w:tblInd w:w="-11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523"/>
              <w:gridCol w:w="1156"/>
              <w:gridCol w:w="1340"/>
              <w:gridCol w:w="1340"/>
              <w:gridCol w:w="1430"/>
            </w:tblGrid>
            <w:tr w14:paraId="598C4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50" w:type="dxa"/>
                  <w:vMerge w:val="restart"/>
                  <w:vAlign w:val="center"/>
                </w:tcPr>
                <w:p w14:paraId="0F8A4B59">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技术要求</w:t>
                  </w:r>
                </w:p>
              </w:tc>
              <w:tc>
                <w:tcPr>
                  <w:tcW w:w="6789" w:type="dxa"/>
                  <w:gridSpan w:val="5"/>
                  <w:vAlign w:val="center"/>
                </w:tcPr>
                <w:p w14:paraId="115FEC77">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项目情况</w:t>
                  </w:r>
                </w:p>
              </w:tc>
            </w:tr>
            <w:tr w14:paraId="7C624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50" w:type="dxa"/>
                  <w:vMerge w:val="continue"/>
                  <w:vAlign w:val="center"/>
                </w:tcPr>
                <w:p w14:paraId="16850FC1">
                  <w:pPr>
                    <w:spacing w:line="340" w:lineRule="exact"/>
                    <w:jc w:val="center"/>
                    <w:rPr>
                      <w:rFonts w:hint="default" w:ascii="Times New Roman" w:hAnsi="Times New Roman" w:cs="Times New Roman"/>
                      <w:bCs/>
                      <w:szCs w:val="21"/>
                      <w:highlight w:val="none"/>
                    </w:rPr>
                  </w:pPr>
                </w:p>
              </w:tc>
              <w:tc>
                <w:tcPr>
                  <w:tcW w:w="1523" w:type="dxa"/>
                  <w:vAlign w:val="center"/>
                </w:tcPr>
                <w:p w14:paraId="09BA193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设施</w:t>
                  </w:r>
                </w:p>
              </w:tc>
              <w:tc>
                <w:tcPr>
                  <w:tcW w:w="1156" w:type="dxa"/>
                  <w:vAlign w:val="center"/>
                </w:tcPr>
                <w:p w14:paraId="4364F126">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设计风量</w:t>
                  </w:r>
                </w:p>
              </w:tc>
              <w:tc>
                <w:tcPr>
                  <w:tcW w:w="1340" w:type="dxa"/>
                  <w:vAlign w:val="center"/>
                </w:tcPr>
                <w:p w14:paraId="128406D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装填体积</w:t>
                  </w:r>
                </w:p>
              </w:tc>
              <w:tc>
                <w:tcPr>
                  <w:tcW w:w="1340" w:type="dxa"/>
                  <w:vAlign w:val="center"/>
                </w:tcPr>
                <w:p w14:paraId="6E062264">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活性炭密度</w:t>
                  </w:r>
                </w:p>
              </w:tc>
              <w:tc>
                <w:tcPr>
                  <w:tcW w:w="1430" w:type="dxa"/>
                  <w:vAlign w:val="center"/>
                </w:tcPr>
                <w:p w14:paraId="057796E3">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装填重量</w:t>
                  </w:r>
                </w:p>
              </w:tc>
            </w:tr>
            <w:tr w14:paraId="76757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1450" w:type="dxa"/>
                  <w:vAlign w:val="center"/>
                </w:tcPr>
                <w:p w14:paraId="74E0945F">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每万m</w:t>
                  </w:r>
                  <w:r>
                    <w:rPr>
                      <w:rFonts w:hint="default" w:ascii="Times New Roman" w:hAnsi="Times New Roman" w:cs="Times New Roman"/>
                      <w:bCs/>
                      <w:szCs w:val="21"/>
                      <w:highlight w:val="none"/>
                      <w:vertAlign w:val="superscript"/>
                    </w:rPr>
                    <w:t>3</w:t>
                  </w:r>
                  <w:r>
                    <w:rPr>
                      <w:rFonts w:hint="default" w:ascii="Times New Roman" w:hAnsi="Times New Roman" w:cs="Times New Roman"/>
                      <w:bCs/>
                      <w:szCs w:val="21"/>
                      <w:highlight w:val="none"/>
                    </w:rPr>
                    <w:t>/h设计风量的吸附剂装填量应不小于1m</w:t>
                  </w:r>
                  <w:r>
                    <w:rPr>
                      <w:rFonts w:hint="default" w:ascii="Times New Roman" w:hAnsi="Times New Roman" w:cs="Times New Roman"/>
                      <w:bCs/>
                      <w:szCs w:val="21"/>
                      <w:highlight w:val="none"/>
                      <w:vertAlign w:val="superscript"/>
                    </w:rPr>
                    <w:t>3</w:t>
                  </w:r>
                </w:p>
              </w:tc>
              <w:tc>
                <w:tcPr>
                  <w:tcW w:w="1523" w:type="dxa"/>
                  <w:vAlign w:val="center"/>
                </w:tcPr>
                <w:p w14:paraId="04B1A1EA">
                  <w:pPr>
                    <w:spacing w:line="340" w:lineRule="exact"/>
                    <w:jc w:val="center"/>
                    <w:rPr>
                      <w:rFonts w:hint="eastAsia" w:ascii="Times New Roman" w:hAnsi="Times New Roman" w:eastAsia="宋体" w:cs="Times New Roman"/>
                      <w:bCs/>
                      <w:szCs w:val="21"/>
                      <w:highlight w:val="none"/>
                      <w:lang w:eastAsia="zh-CN"/>
                    </w:rPr>
                  </w:pPr>
                  <w:r>
                    <w:rPr>
                      <w:rFonts w:hint="default" w:ascii="Times New Roman" w:hAnsi="Times New Roman" w:eastAsia="宋体" w:cs="Times New Roman"/>
                      <w:bCs/>
                      <w:szCs w:val="21"/>
                      <w:highlight w:val="none"/>
                      <w:lang w:val="en-US" w:eastAsia="zh-CN"/>
                    </w:rPr>
                    <w:t>印刷</w:t>
                  </w:r>
                  <w:r>
                    <w:rPr>
                      <w:rFonts w:hint="default" w:ascii="Times New Roman" w:hAnsi="Times New Roman" w:cs="Times New Roman"/>
                      <w:bCs/>
                      <w:szCs w:val="21"/>
                      <w:highlight w:val="none"/>
                    </w:rPr>
                    <w:t>废气</w:t>
                  </w:r>
                  <w:r>
                    <w:rPr>
                      <w:rFonts w:hint="eastAsia" w:ascii="Times New Roman" w:hAnsi="Times New Roman" w:eastAsia="宋体" w:cs="Times New Roman"/>
                      <w:bCs/>
                      <w:szCs w:val="21"/>
                      <w:highlight w:val="none"/>
                      <w:lang w:eastAsia="zh-CN"/>
                    </w:rPr>
                    <w:t>二级活性炭吸附装置</w:t>
                  </w:r>
                </w:p>
              </w:tc>
              <w:tc>
                <w:tcPr>
                  <w:tcW w:w="1156" w:type="dxa"/>
                  <w:vAlign w:val="center"/>
                </w:tcPr>
                <w:p w14:paraId="7B6DCB28">
                  <w:pPr>
                    <w:spacing w:line="340" w:lineRule="exact"/>
                    <w:jc w:val="center"/>
                    <w:rPr>
                      <w:rFonts w:hint="default" w:ascii="Times New Roman" w:hAnsi="Times New Roman" w:cs="Times New Roman"/>
                      <w:bCs/>
                      <w:szCs w:val="21"/>
                      <w:highlight w:val="none"/>
                    </w:rPr>
                  </w:pPr>
                  <w:r>
                    <w:rPr>
                      <w:rFonts w:hint="default" w:ascii="Times New Roman" w:hAnsi="Times New Roman" w:eastAsia="宋体" w:cs="Times New Roman"/>
                      <w:bCs/>
                      <w:szCs w:val="21"/>
                      <w:highlight w:val="none"/>
                      <w:lang w:val="en-US" w:eastAsia="zh-CN"/>
                    </w:rPr>
                    <w:t>1</w:t>
                  </w:r>
                  <w:r>
                    <w:rPr>
                      <w:rFonts w:hint="default" w:ascii="Times New Roman" w:hAnsi="Times New Roman" w:cs="Times New Roman"/>
                      <w:bCs/>
                      <w:szCs w:val="21"/>
                      <w:highlight w:val="none"/>
                    </w:rPr>
                    <w:t>0000m</w:t>
                  </w:r>
                  <w:r>
                    <w:rPr>
                      <w:rFonts w:hint="default" w:ascii="Times New Roman" w:hAnsi="Times New Roman" w:cs="Times New Roman"/>
                      <w:bCs/>
                      <w:szCs w:val="21"/>
                      <w:highlight w:val="none"/>
                      <w:vertAlign w:val="superscript"/>
                    </w:rPr>
                    <w:t>3</w:t>
                  </w:r>
                  <w:r>
                    <w:rPr>
                      <w:rFonts w:hint="default" w:ascii="Times New Roman" w:hAnsi="Times New Roman" w:cs="Times New Roman"/>
                      <w:bCs/>
                      <w:szCs w:val="21"/>
                      <w:highlight w:val="none"/>
                    </w:rPr>
                    <w:t>/h</w:t>
                  </w:r>
                </w:p>
              </w:tc>
              <w:tc>
                <w:tcPr>
                  <w:tcW w:w="1340" w:type="dxa"/>
                  <w:vAlign w:val="center"/>
                </w:tcPr>
                <w:p w14:paraId="3E17BA5D">
                  <w:pPr>
                    <w:spacing w:line="340" w:lineRule="exact"/>
                    <w:jc w:val="center"/>
                    <w:rPr>
                      <w:rFonts w:hint="default" w:ascii="Times New Roman" w:hAnsi="Times New Roman" w:cs="Times New Roman"/>
                      <w:bCs/>
                      <w:szCs w:val="21"/>
                      <w:highlight w:val="none"/>
                    </w:rPr>
                  </w:pPr>
                  <w:r>
                    <w:rPr>
                      <w:rFonts w:hint="default" w:ascii="Times New Roman" w:hAnsi="Times New Roman" w:eastAsia="宋体" w:cs="Times New Roman"/>
                      <w:bCs/>
                      <w:szCs w:val="21"/>
                      <w:highlight w:val="none"/>
                      <w:lang w:val="en-US" w:eastAsia="zh-CN"/>
                    </w:rPr>
                    <w:t>1</w:t>
                  </w:r>
                  <w:r>
                    <w:rPr>
                      <w:rFonts w:hint="default" w:ascii="Times New Roman" w:hAnsi="Times New Roman" w:cs="Times New Roman"/>
                      <w:bCs/>
                      <w:szCs w:val="21"/>
                      <w:highlight w:val="none"/>
                    </w:rPr>
                    <w:t>m</w:t>
                  </w:r>
                  <w:r>
                    <w:rPr>
                      <w:rFonts w:hint="default" w:ascii="Times New Roman" w:hAnsi="Times New Roman" w:cs="Times New Roman"/>
                      <w:bCs/>
                      <w:szCs w:val="21"/>
                      <w:highlight w:val="none"/>
                      <w:vertAlign w:val="superscript"/>
                    </w:rPr>
                    <w:t>3</w:t>
                  </w:r>
                </w:p>
              </w:tc>
              <w:tc>
                <w:tcPr>
                  <w:tcW w:w="1340" w:type="dxa"/>
                  <w:vAlign w:val="center"/>
                </w:tcPr>
                <w:p w14:paraId="2F554CF1">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0.5t/m</w:t>
                  </w:r>
                  <w:r>
                    <w:rPr>
                      <w:rFonts w:hint="default" w:ascii="Times New Roman" w:hAnsi="Times New Roman" w:cs="Times New Roman"/>
                      <w:bCs/>
                      <w:szCs w:val="21"/>
                      <w:highlight w:val="none"/>
                      <w:vertAlign w:val="superscript"/>
                    </w:rPr>
                    <w:t>3</w:t>
                  </w:r>
                </w:p>
              </w:tc>
              <w:tc>
                <w:tcPr>
                  <w:tcW w:w="1430" w:type="dxa"/>
                  <w:vAlign w:val="center"/>
                </w:tcPr>
                <w:p w14:paraId="6BC7AFC2">
                  <w:pPr>
                    <w:spacing w:line="340" w:lineRule="exact"/>
                    <w:jc w:val="center"/>
                    <w:rPr>
                      <w:rFonts w:hint="default" w:ascii="Times New Roman" w:hAnsi="Times New Roman" w:cs="Times New Roman"/>
                      <w:bCs/>
                      <w:szCs w:val="21"/>
                      <w:highlight w:val="none"/>
                    </w:rPr>
                  </w:pPr>
                  <w:r>
                    <w:rPr>
                      <w:rFonts w:hint="default" w:ascii="Times New Roman" w:hAnsi="Times New Roman" w:eastAsia="宋体" w:cs="Times New Roman"/>
                      <w:bCs/>
                      <w:szCs w:val="21"/>
                      <w:highlight w:val="none"/>
                      <w:lang w:val="en-US" w:eastAsia="zh-CN"/>
                    </w:rPr>
                    <w:t>0.5</w:t>
                  </w:r>
                  <w:r>
                    <w:rPr>
                      <w:rFonts w:hint="default" w:ascii="Times New Roman" w:hAnsi="Times New Roman" w:cs="Times New Roman"/>
                      <w:bCs/>
                      <w:szCs w:val="21"/>
                      <w:highlight w:val="none"/>
                    </w:rPr>
                    <w:t>t</w:t>
                  </w:r>
                </w:p>
              </w:tc>
            </w:tr>
          </w:tbl>
          <w:p w14:paraId="61750E90">
            <w:pP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根据《简明通风设计手册》资料并结合同类型</w:t>
            </w:r>
            <w:r>
              <w:rPr>
                <w:rFonts w:hint="eastAsia" w:ascii="Times New Roman" w:hAnsi="Times New Roman" w:eastAsia="宋体" w:cs="Times New Roman"/>
                <w:sz w:val="24"/>
                <w:highlight w:val="none"/>
                <w:lang w:val="en-US" w:eastAsia="zh-CN"/>
              </w:rPr>
              <w:t>企业</w:t>
            </w:r>
            <w:r>
              <w:rPr>
                <w:rFonts w:hint="default" w:ascii="Times New Roman" w:hAnsi="Times New Roman" w:eastAsia="宋体" w:cs="Times New Roman"/>
                <w:sz w:val="24"/>
                <w:highlight w:val="none"/>
                <w:lang w:val="en-US" w:eastAsia="zh-CN"/>
              </w:rPr>
              <w:t>实际运行情况，每公斤活性炭的有效吸附量为：qe=0.24kg/kg活性炭，一套活性炭装置一次</w:t>
            </w:r>
            <w:r>
              <w:rPr>
                <w:rFonts w:hint="eastAsia" w:ascii="Times New Roman" w:hAnsi="Times New Roman" w:eastAsia="宋体" w:cs="Times New Roman"/>
                <w:sz w:val="24"/>
                <w:highlight w:val="none"/>
                <w:lang w:val="en-US" w:eastAsia="zh-CN"/>
              </w:rPr>
              <w:t>能够</w:t>
            </w:r>
            <w:r>
              <w:rPr>
                <w:rFonts w:hint="default" w:ascii="Times New Roman" w:hAnsi="Times New Roman" w:eastAsia="宋体" w:cs="Times New Roman"/>
                <w:sz w:val="24"/>
                <w:highlight w:val="none"/>
                <w:lang w:val="en-US" w:eastAsia="zh-CN"/>
              </w:rPr>
              <w:t>吸附废气量</w:t>
            </w:r>
            <w:r>
              <w:rPr>
                <w:rFonts w:hint="eastAsia" w:ascii="Times New Roman" w:hAnsi="Times New Roman" w:eastAsia="宋体" w:cs="Times New Roman"/>
                <w:sz w:val="24"/>
                <w:highlight w:val="none"/>
                <w:lang w:val="en-US" w:eastAsia="zh-CN"/>
              </w:rPr>
              <w:t>共</w:t>
            </w:r>
            <w:r>
              <w:rPr>
                <w:rFonts w:hint="default" w:ascii="Times New Roman" w:hAnsi="Times New Roman" w:eastAsia="宋体" w:cs="Times New Roman"/>
                <w:sz w:val="24"/>
                <w:highlight w:val="none"/>
                <w:lang w:val="en-US" w:eastAsia="zh-CN"/>
              </w:rPr>
              <w:t>约0.12t。本项目活性炭吸附的废气量为</w:t>
            </w:r>
            <w:r>
              <w:rPr>
                <w:rFonts w:hint="eastAsia" w:ascii="Times New Roman" w:hAnsi="Times New Roman" w:eastAsia="宋体" w:cs="Times New Roman"/>
                <w:sz w:val="24"/>
                <w:highlight w:val="none"/>
                <w:lang w:val="en-US" w:eastAsia="zh-CN"/>
              </w:rPr>
              <w:t>0.18</w:t>
            </w:r>
            <w:r>
              <w:rPr>
                <w:rFonts w:hint="default" w:ascii="Times New Roman" w:hAnsi="Times New Roman" w:eastAsia="宋体" w:cs="Times New Roman"/>
                <w:sz w:val="24"/>
                <w:highlight w:val="none"/>
                <w:lang w:val="en-US" w:eastAsia="zh-CN"/>
              </w:rPr>
              <w:t>t/a，则活性炭至少需要</w:t>
            </w:r>
            <w:r>
              <w:rPr>
                <w:rFonts w:hint="eastAsia" w:ascii="Times New Roman" w:hAnsi="Times New Roman" w:eastAsia="宋体" w:cs="Times New Roman"/>
                <w:sz w:val="24"/>
                <w:highlight w:val="none"/>
                <w:lang w:val="en-US" w:eastAsia="zh-CN"/>
              </w:rPr>
              <w:t>8个月</w:t>
            </w:r>
            <w:r>
              <w:rPr>
                <w:rFonts w:hint="default" w:ascii="Times New Roman" w:hAnsi="Times New Roman" w:eastAsia="宋体" w:cs="Times New Roman"/>
                <w:sz w:val="24"/>
                <w:highlight w:val="none"/>
                <w:lang w:val="en-US" w:eastAsia="zh-CN"/>
              </w:rPr>
              <w:t>更换1次。详情见下表4</w:t>
            </w:r>
            <w:r>
              <w:rPr>
                <w:rFonts w:hint="eastAsia" w:ascii="Times New Roman" w:hAnsi="Times New Roman" w:eastAsia="宋体" w:cs="Times New Roman"/>
                <w:sz w:val="24"/>
                <w:highlight w:val="none"/>
                <w:lang w:val="en-US" w:eastAsia="zh-CN"/>
              </w:rPr>
              <w:t>.4-2</w:t>
            </w:r>
            <w:r>
              <w:rPr>
                <w:rFonts w:hint="default" w:ascii="Times New Roman" w:hAnsi="Times New Roman" w:eastAsia="宋体" w:cs="Times New Roman"/>
                <w:sz w:val="24"/>
                <w:highlight w:val="none"/>
                <w:lang w:val="en-US" w:eastAsia="zh-CN"/>
              </w:rPr>
              <w:t>。</w:t>
            </w:r>
          </w:p>
          <w:p w14:paraId="06824F09">
            <w:pPr>
              <w:spacing w:before="120" w:beforeLines="50"/>
              <w:jc w:val="center"/>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表</w:t>
            </w:r>
            <w:r>
              <w:rPr>
                <w:rFonts w:hint="default" w:ascii="Times New Roman" w:hAnsi="Times New Roman" w:eastAsia="宋体" w:cs="Times New Roman"/>
                <w:b/>
                <w:bCs/>
                <w:color w:val="000000"/>
                <w:sz w:val="24"/>
                <w:highlight w:val="none"/>
                <w:lang w:val="en-US" w:eastAsia="zh-CN"/>
              </w:rPr>
              <w:t>4</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rPr>
              <w:t xml:space="preserve"> 项目活性炭更换频次一览表</w:t>
            </w:r>
          </w:p>
          <w:tbl>
            <w:tblPr>
              <w:tblStyle w:val="17"/>
              <w:tblW w:w="83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65"/>
              <w:gridCol w:w="1703"/>
              <w:gridCol w:w="1416"/>
              <w:gridCol w:w="1150"/>
              <w:gridCol w:w="1349"/>
            </w:tblGrid>
            <w:tr w14:paraId="107B6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594" w:type="dxa"/>
                  <w:vAlign w:val="center"/>
                </w:tcPr>
                <w:p w14:paraId="501ECAAF">
                  <w:pPr>
                    <w:topLinePunct/>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设施</w:t>
                  </w:r>
                </w:p>
              </w:tc>
              <w:tc>
                <w:tcPr>
                  <w:tcW w:w="1165" w:type="dxa"/>
                  <w:vAlign w:val="center"/>
                </w:tcPr>
                <w:p w14:paraId="203280E1">
                  <w:pPr>
                    <w:topLinePunct/>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设施填充量</w:t>
                  </w:r>
                  <w:r>
                    <w:rPr>
                      <w:rFonts w:hint="eastAsia" w:ascii="Times New Roman" w:hAnsi="Times New Roman" w:eastAsia="宋体" w:cs="Times New Roman"/>
                      <w:color w:val="000000"/>
                      <w:highlight w:val="none"/>
                      <w:lang w:eastAsia="zh-CN"/>
                    </w:rPr>
                    <w:t>（</w:t>
                  </w:r>
                  <w:r>
                    <w:rPr>
                      <w:rFonts w:hint="default" w:ascii="Times New Roman" w:hAnsi="Times New Roman" w:cs="Times New Roman"/>
                      <w:color w:val="000000"/>
                      <w:highlight w:val="none"/>
                    </w:rPr>
                    <w:t>t</w:t>
                  </w:r>
                  <w:r>
                    <w:rPr>
                      <w:rFonts w:hint="eastAsia" w:ascii="Times New Roman" w:hAnsi="Times New Roman" w:eastAsia="宋体" w:cs="Times New Roman"/>
                      <w:color w:val="000000"/>
                      <w:highlight w:val="none"/>
                      <w:lang w:eastAsia="zh-CN"/>
                    </w:rPr>
                    <w:t>）</w:t>
                  </w:r>
                </w:p>
              </w:tc>
              <w:tc>
                <w:tcPr>
                  <w:tcW w:w="1703" w:type="dxa"/>
                  <w:vAlign w:val="center"/>
                </w:tcPr>
                <w:p w14:paraId="4C86EFEF">
                  <w:pPr>
                    <w:topLinePunct/>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一次填充可吸附有机废气量</w:t>
                  </w:r>
                  <w:r>
                    <w:rPr>
                      <w:rFonts w:hint="eastAsia" w:ascii="Times New Roman" w:hAnsi="Times New Roman" w:eastAsia="宋体" w:cs="Times New Roman"/>
                      <w:color w:val="000000"/>
                      <w:highlight w:val="none"/>
                      <w:lang w:eastAsia="zh-CN"/>
                    </w:rPr>
                    <w:t>（</w:t>
                  </w:r>
                  <w:r>
                    <w:rPr>
                      <w:rFonts w:hint="default" w:ascii="Times New Roman" w:hAnsi="Times New Roman" w:cs="Times New Roman"/>
                      <w:color w:val="000000"/>
                      <w:highlight w:val="none"/>
                    </w:rPr>
                    <w:t>t</w:t>
                  </w:r>
                  <w:r>
                    <w:rPr>
                      <w:rFonts w:hint="eastAsia" w:ascii="Times New Roman" w:hAnsi="Times New Roman" w:eastAsia="宋体" w:cs="Times New Roman"/>
                      <w:color w:val="000000"/>
                      <w:highlight w:val="none"/>
                      <w:lang w:eastAsia="zh-CN"/>
                    </w:rPr>
                    <w:t>）</w:t>
                  </w:r>
                </w:p>
              </w:tc>
              <w:tc>
                <w:tcPr>
                  <w:tcW w:w="1416" w:type="dxa"/>
                  <w:vAlign w:val="center"/>
                </w:tcPr>
                <w:p w14:paraId="6FAF8681">
                  <w:pPr>
                    <w:topLinePunct/>
                    <w:spacing w:line="340" w:lineRule="exact"/>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年需吸附</w:t>
                  </w:r>
                </w:p>
                <w:p w14:paraId="3BC7E52B">
                  <w:pPr>
                    <w:topLinePunct/>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有机废气量</w:t>
                  </w:r>
                  <w:r>
                    <w:rPr>
                      <w:rFonts w:hint="eastAsia" w:ascii="Times New Roman" w:hAnsi="Times New Roman" w:eastAsia="宋体" w:cs="Times New Roman"/>
                      <w:color w:val="000000"/>
                      <w:highlight w:val="none"/>
                      <w:lang w:eastAsia="zh-CN"/>
                    </w:rPr>
                    <w:t>（</w:t>
                  </w:r>
                  <w:r>
                    <w:rPr>
                      <w:rFonts w:hint="default" w:ascii="Times New Roman" w:hAnsi="Times New Roman" w:cs="Times New Roman"/>
                      <w:color w:val="000000"/>
                      <w:highlight w:val="none"/>
                    </w:rPr>
                    <w:t>t</w:t>
                  </w:r>
                  <w:r>
                    <w:rPr>
                      <w:rFonts w:hint="eastAsia" w:ascii="Times New Roman" w:hAnsi="Times New Roman" w:eastAsia="宋体" w:cs="Times New Roman"/>
                      <w:color w:val="000000"/>
                      <w:highlight w:val="none"/>
                      <w:lang w:eastAsia="zh-CN"/>
                    </w:rPr>
                    <w:t>）</w:t>
                  </w:r>
                </w:p>
              </w:tc>
              <w:tc>
                <w:tcPr>
                  <w:tcW w:w="1150" w:type="dxa"/>
                  <w:vAlign w:val="center"/>
                </w:tcPr>
                <w:p w14:paraId="2F1277D9">
                  <w:pPr>
                    <w:topLinePunct/>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更换</w:t>
                  </w:r>
                  <w:r>
                    <w:rPr>
                      <w:rFonts w:hint="default" w:ascii="Times New Roman" w:hAnsi="Times New Roman" w:cs="Times New Roman"/>
                      <w:color w:val="000000"/>
                      <w:highlight w:val="none"/>
                      <w:lang w:val="en-US" w:eastAsia="zh-CN"/>
                    </w:rPr>
                    <w:t>一次所需时间</w:t>
                  </w:r>
                  <w:r>
                    <w:rPr>
                      <w:rFonts w:hint="eastAsia"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月</w:t>
                  </w:r>
                  <w:r>
                    <w:rPr>
                      <w:rFonts w:hint="eastAsia" w:ascii="Times New Roman" w:hAnsi="Times New Roman" w:eastAsia="宋体" w:cs="Times New Roman"/>
                      <w:color w:val="000000"/>
                      <w:highlight w:val="none"/>
                      <w:lang w:eastAsia="zh-CN"/>
                    </w:rPr>
                    <w:t>）</w:t>
                  </w:r>
                </w:p>
              </w:tc>
              <w:tc>
                <w:tcPr>
                  <w:tcW w:w="1349" w:type="dxa"/>
                  <w:vAlign w:val="center"/>
                </w:tcPr>
                <w:p w14:paraId="31646BF7">
                  <w:pPr>
                    <w:topLinePunct/>
                    <w:spacing w:line="340" w:lineRule="exact"/>
                    <w:jc w:val="center"/>
                    <w:rPr>
                      <w:rFonts w:hint="eastAsia" w:ascii="Times New Roman" w:hAnsi="Times New Roman" w:eastAsia="宋体" w:cs="Times New Roman"/>
                      <w:color w:val="000000"/>
                      <w:highlight w:val="none"/>
                      <w:lang w:eastAsia="zh-CN"/>
                    </w:rPr>
                  </w:pPr>
                  <w:r>
                    <w:rPr>
                      <w:rFonts w:hint="default" w:ascii="Times New Roman" w:hAnsi="Times New Roman" w:cs="Times New Roman"/>
                      <w:color w:val="000000"/>
                      <w:highlight w:val="none"/>
                    </w:rPr>
                    <w:t>废活性炭产生量</w:t>
                  </w:r>
                  <w:r>
                    <w:rPr>
                      <w:rFonts w:hint="eastAsia" w:ascii="Times New Roman" w:hAnsi="Times New Roman" w:eastAsia="宋体" w:cs="Times New Roman"/>
                      <w:color w:val="000000"/>
                      <w:highlight w:val="none"/>
                      <w:lang w:eastAsia="zh-CN"/>
                    </w:rPr>
                    <w:t>（</w:t>
                  </w:r>
                  <w:r>
                    <w:rPr>
                      <w:rFonts w:hint="default" w:ascii="Times New Roman" w:hAnsi="Times New Roman" w:cs="Times New Roman"/>
                      <w:color w:val="000000"/>
                      <w:highlight w:val="none"/>
                    </w:rPr>
                    <w:t>t/a</w:t>
                  </w:r>
                  <w:r>
                    <w:rPr>
                      <w:rFonts w:hint="eastAsia" w:ascii="Times New Roman" w:hAnsi="Times New Roman" w:eastAsia="宋体" w:cs="Times New Roman"/>
                      <w:color w:val="000000"/>
                      <w:highlight w:val="none"/>
                      <w:lang w:eastAsia="zh-CN"/>
                    </w:rPr>
                    <w:t>）</w:t>
                  </w:r>
                </w:p>
              </w:tc>
            </w:tr>
            <w:tr w14:paraId="1AFB7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594" w:type="dxa"/>
                  <w:vAlign w:val="center"/>
                </w:tcPr>
                <w:p w14:paraId="15D0BA17">
                  <w:pPr>
                    <w:topLinePunct/>
                    <w:spacing w:line="340" w:lineRule="exact"/>
                    <w:jc w:val="center"/>
                    <w:rPr>
                      <w:rFonts w:hint="eastAsia" w:ascii="Times New Roman" w:hAnsi="Times New Roman" w:eastAsia="宋体" w:cs="Times New Roman"/>
                      <w:color w:val="auto"/>
                      <w:highlight w:val="none"/>
                      <w:lang w:eastAsia="zh-CN"/>
                    </w:rPr>
                  </w:pPr>
                  <w:r>
                    <w:rPr>
                      <w:rFonts w:hint="default" w:ascii="Times New Roman" w:hAnsi="Times New Roman" w:cs="Times New Roman"/>
                      <w:bCs/>
                      <w:color w:val="auto"/>
                      <w:szCs w:val="21"/>
                      <w:highlight w:val="none"/>
                      <w:lang w:val="en-US" w:eastAsia="zh-CN"/>
                    </w:rPr>
                    <w:t>印刷</w:t>
                  </w:r>
                  <w:r>
                    <w:rPr>
                      <w:rFonts w:hint="default" w:ascii="Times New Roman" w:hAnsi="Times New Roman" w:cs="Times New Roman"/>
                      <w:bCs/>
                      <w:color w:val="auto"/>
                      <w:szCs w:val="21"/>
                      <w:highlight w:val="none"/>
                    </w:rPr>
                    <w:t>废气</w:t>
                  </w:r>
                  <w:r>
                    <w:rPr>
                      <w:rFonts w:hint="eastAsia" w:ascii="Times New Roman" w:hAnsi="Times New Roman" w:eastAsia="宋体" w:cs="Times New Roman"/>
                      <w:bCs/>
                      <w:color w:val="auto"/>
                      <w:szCs w:val="21"/>
                      <w:highlight w:val="none"/>
                      <w:lang w:eastAsia="zh-CN"/>
                    </w:rPr>
                    <w:t>二级活性炭吸附装置</w:t>
                  </w:r>
                </w:p>
              </w:tc>
              <w:tc>
                <w:tcPr>
                  <w:tcW w:w="1165" w:type="dxa"/>
                  <w:vAlign w:val="center"/>
                </w:tcPr>
                <w:p w14:paraId="59F5076C">
                  <w:pPr>
                    <w:topLinePunct/>
                    <w:spacing w:line="34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0.5</w:t>
                  </w:r>
                </w:p>
              </w:tc>
              <w:tc>
                <w:tcPr>
                  <w:tcW w:w="1703" w:type="dxa"/>
                  <w:vAlign w:val="center"/>
                </w:tcPr>
                <w:p w14:paraId="282AAB01">
                  <w:pPr>
                    <w:topLinePunct/>
                    <w:spacing w:line="34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en-US" w:eastAsia="zh-CN"/>
                    </w:rPr>
                    <w:t>12</w:t>
                  </w:r>
                </w:p>
              </w:tc>
              <w:tc>
                <w:tcPr>
                  <w:tcW w:w="1416" w:type="dxa"/>
                  <w:vAlign w:val="center"/>
                </w:tcPr>
                <w:p w14:paraId="07EF0701">
                  <w:pPr>
                    <w:topLinePunct/>
                    <w:spacing w:line="34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bCs/>
                      <w:color w:val="auto"/>
                      <w:szCs w:val="21"/>
                      <w:highlight w:val="none"/>
                    </w:rPr>
                    <w:t>0.</w:t>
                  </w:r>
                  <w:r>
                    <w:rPr>
                      <w:rFonts w:hint="eastAsia" w:ascii="Times New Roman" w:hAnsi="Times New Roman" w:cs="Times New Roman"/>
                      <w:bCs/>
                      <w:color w:val="auto"/>
                      <w:szCs w:val="21"/>
                      <w:highlight w:val="none"/>
                      <w:lang w:val="en-US" w:eastAsia="zh-CN"/>
                    </w:rPr>
                    <w:t>18</w:t>
                  </w:r>
                </w:p>
              </w:tc>
              <w:tc>
                <w:tcPr>
                  <w:tcW w:w="1150" w:type="dxa"/>
                  <w:vAlign w:val="center"/>
                </w:tcPr>
                <w:p w14:paraId="77EC6955">
                  <w:pPr>
                    <w:topLinePunct/>
                    <w:spacing w:line="34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w:t>
                  </w:r>
                </w:p>
              </w:tc>
              <w:tc>
                <w:tcPr>
                  <w:tcW w:w="1349" w:type="dxa"/>
                  <w:vAlign w:val="center"/>
                </w:tcPr>
                <w:p w14:paraId="00B7BD1B">
                  <w:pPr>
                    <w:topLinePunct/>
                    <w:spacing w:line="340" w:lineRule="exact"/>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1.18</w:t>
                  </w:r>
                </w:p>
              </w:tc>
            </w:tr>
          </w:tbl>
          <w:p w14:paraId="040DEE6D">
            <w:pP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color w:val="auto"/>
                <w:sz w:val="24"/>
                <w:highlight w:val="none"/>
                <w:lang w:val="en-US" w:eastAsia="zh-CN"/>
              </w:rPr>
              <w:t>为保证活性炭吸附效果，本环评建议建设单位</w:t>
            </w:r>
            <w:r>
              <w:rPr>
                <w:rFonts w:hint="eastAsia" w:ascii="Times New Roman" w:hAnsi="Times New Roman" w:eastAsia="宋体" w:cs="Times New Roman"/>
                <w:color w:val="auto"/>
                <w:sz w:val="24"/>
                <w:highlight w:val="none"/>
                <w:lang w:val="en-US" w:eastAsia="zh-CN"/>
              </w:rPr>
              <w:t>二级活性炭吸附装置</w:t>
            </w:r>
            <w:r>
              <w:rPr>
                <w:rFonts w:hint="default" w:ascii="Times New Roman" w:hAnsi="Times New Roman" w:eastAsia="宋体" w:cs="Times New Roman"/>
                <w:color w:val="auto"/>
                <w:sz w:val="24"/>
                <w:highlight w:val="none"/>
                <w:lang w:val="en-US" w:eastAsia="zh-CN"/>
              </w:rPr>
              <w:t>活性炭更换频次为</w:t>
            </w:r>
            <w:r>
              <w:rPr>
                <w:rFonts w:hint="eastAsia" w:ascii="Times New Roman" w:hAnsi="Times New Roman" w:eastAsia="宋体" w:cs="Times New Roman"/>
                <w:color w:val="auto"/>
                <w:sz w:val="24"/>
                <w:highlight w:val="none"/>
                <w:lang w:val="en-US" w:eastAsia="zh-CN"/>
              </w:rPr>
              <w:t>半</w:t>
            </w:r>
            <w:r>
              <w:rPr>
                <w:rFonts w:hint="default" w:ascii="Times New Roman" w:hAnsi="Times New Roman" w:eastAsia="宋体" w:cs="Times New Roman"/>
                <w:color w:val="auto"/>
                <w:sz w:val="24"/>
                <w:highlight w:val="none"/>
                <w:lang w:val="en-US" w:eastAsia="zh-CN"/>
              </w:rPr>
              <w:t>年一次。项目废活性炭产生量为</w:t>
            </w:r>
            <w:r>
              <w:rPr>
                <w:rFonts w:hint="eastAsia" w:ascii="Times New Roman" w:hAnsi="Times New Roman" w:eastAsia="宋体" w:cs="Times New Roman"/>
                <w:color w:val="auto"/>
                <w:sz w:val="24"/>
                <w:highlight w:val="none"/>
                <w:lang w:val="en-US" w:eastAsia="zh-CN"/>
              </w:rPr>
              <w:t>1.18</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sz w:val="24"/>
                <w:highlight w:val="none"/>
                <w:lang w:val="en-US" w:eastAsia="zh-CN"/>
              </w:rPr>
              <w:t>废活性炭集中收集暂存于危废暂存间</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采用密闭塑料桶密封并分区暂存于危废暂存间</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，定期委托有资质</w:t>
            </w:r>
            <w:r>
              <w:rPr>
                <w:rFonts w:hint="eastAsia" w:ascii="Times New Roman" w:hAnsi="Times New Roman" w:eastAsia="宋体" w:cs="Times New Roman"/>
                <w:sz w:val="24"/>
                <w:highlight w:val="none"/>
                <w:lang w:val="en-US" w:eastAsia="zh-CN"/>
              </w:rPr>
              <w:t>的</w:t>
            </w:r>
            <w:r>
              <w:rPr>
                <w:rFonts w:hint="default" w:ascii="Times New Roman" w:hAnsi="Times New Roman" w:eastAsia="宋体" w:cs="Times New Roman"/>
                <w:sz w:val="24"/>
                <w:highlight w:val="none"/>
                <w:lang w:val="en-US" w:eastAsia="zh-CN"/>
              </w:rPr>
              <w:t>单位外运处置。</w:t>
            </w:r>
          </w:p>
          <w:p w14:paraId="5B9A92C8">
            <w:pPr>
              <w:spacing w:line="360" w:lineRule="auto"/>
              <w:ind w:firstLine="480" w:firstLineChars="200"/>
              <w:rPr>
                <w:rFonts w:hint="eastAsia" w:ascii="Times New Roman" w:hAnsi="Times New Roman" w:eastAsia="宋体" w:cs="Times New Roman"/>
                <w:sz w:val="24"/>
                <w:highlight w:val="none"/>
                <w:lang w:val="en-US" w:eastAsia="zh-CN"/>
              </w:rPr>
            </w:pPr>
            <w:r>
              <w:rPr>
                <w:rFonts w:hint="eastAsia" w:ascii="Times New Roman" w:hAnsi="Times New Roman" w:eastAsia="宋体" w:cs="Times New Roman"/>
                <w:sz w:val="24"/>
                <w:highlight w:val="none"/>
                <w:lang w:val="en-US" w:eastAsia="zh-CN"/>
              </w:rPr>
              <w:t>③废网版</w:t>
            </w:r>
          </w:p>
          <w:p w14:paraId="4B94DE94">
            <w:pP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网版直接外购，不自行制版，产生的废网版</w:t>
            </w:r>
            <w:r>
              <w:rPr>
                <w:rFonts w:hint="eastAsia" w:ascii="Times New Roman" w:hAnsi="Times New Roman" w:eastAsia="宋体" w:cs="Times New Roman"/>
                <w:color w:val="auto"/>
                <w:sz w:val="24"/>
                <w:highlight w:val="none"/>
                <w:lang w:val="en-US" w:eastAsia="zh-CN"/>
              </w:rPr>
              <w:t>约为0.1t</w:t>
            </w:r>
            <w:r>
              <w:rPr>
                <w:rFonts w:hint="default" w:ascii="Times New Roman" w:hAnsi="Times New Roman" w:eastAsia="宋体" w:cs="Times New Roman"/>
                <w:color w:val="auto"/>
                <w:sz w:val="24"/>
                <w:highlight w:val="none"/>
                <w:lang w:val="en-US" w:eastAsia="zh-CN"/>
              </w:rPr>
              <w:t>/a，根据</w:t>
            </w:r>
            <w:r>
              <w:rPr>
                <w:rFonts w:hint="default" w:ascii="Times New Roman" w:hAnsi="Times New Roman" w:eastAsia="宋体" w:cs="Times New Roman"/>
                <w:sz w:val="24"/>
                <w:highlight w:val="none"/>
                <w:lang w:val="en-US" w:eastAsia="zh-CN"/>
              </w:rPr>
              <w:t>《国家危险废物名录（2021年版）》（2021年1月1日），废网版属于HW16感光材料废物</w:t>
            </w:r>
            <w:r>
              <w:rPr>
                <w:rFonts w:hint="eastAsia"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lang w:val="en-US" w:eastAsia="zh-CN"/>
              </w:rPr>
              <w:t>废物代码为231-002-16。</w:t>
            </w:r>
          </w:p>
          <w:p w14:paraId="390AAF33">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项目危险废物详见表4</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3</w:t>
            </w:r>
            <w:r>
              <w:rPr>
                <w:rFonts w:hint="default" w:ascii="Times New Roman" w:hAnsi="Times New Roman" w:cs="Times New Roman"/>
                <w:bCs/>
                <w:color w:val="auto"/>
                <w:sz w:val="24"/>
                <w:highlight w:val="none"/>
              </w:rPr>
              <w:t>。</w:t>
            </w:r>
          </w:p>
          <w:p w14:paraId="69EFFC4F">
            <w:pPr>
              <w:spacing w:before="120" w:beforeLines="5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危险废物汇总表</w:t>
            </w:r>
          </w:p>
          <w:tbl>
            <w:tblPr>
              <w:tblStyle w:val="17"/>
              <w:tblW w:w="83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752"/>
              <w:gridCol w:w="1171"/>
              <w:gridCol w:w="923"/>
              <w:gridCol w:w="1078"/>
              <w:gridCol w:w="663"/>
              <w:gridCol w:w="870"/>
              <w:gridCol w:w="870"/>
              <w:gridCol w:w="872"/>
            </w:tblGrid>
            <w:tr w14:paraId="7B5EC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vAlign w:val="center"/>
                </w:tcPr>
                <w:p w14:paraId="36AF5929">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448" w:type="pct"/>
                  <w:vAlign w:val="center"/>
                </w:tcPr>
                <w:p w14:paraId="7FFC5A66">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类别</w:t>
                  </w:r>
                </w:p>
              </w:tc>
              <w:tc>
                <w:tcPr>
                  <w:tcW w:w="698" w:type="pct"/>
                  <w:vAlign w:val="center"/>
                </w:tcPr>
                <w:p w14:paraId="0F24F976">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代码</w:t>
                  </w:r>
                </w:p>
              </w:tc>
              <w:tc>
                <w:tcPr>
                  <w:tcW w:w="550" w:type="pct"/>
                  <w:vAlign w:val="center"/>
                </w:tcPr>
                <w:p w14:paraId="1882E7D4">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产生量</w:t>
                  </w:r>
                </w:p>
                <w:p w14:paraId="5D94E616">
                  <w:pPr>
                    <w:pStyle w:val="36"/>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w:t>
                  </w:r>
                  <w:r>
                    <w:rPr>
                      <w:rFonts w:hint="default" w:ascii="Times New Roman" w:hAnsi="Times New Roman" w:cs="Times New Roman"/>
                      <w:color w:val="auto"/>
                      <w:szCs w:val="21"/>
                      <w:highlight w:val="none"/>
                    </w:rPr>
                    <w:t>t/a</w:t>
                  </w:r>
                  <w:r>
                    <w:rPr>
                      <w:rFonts w:hint="eastAsia" w:ascii="Times New Roman" w:hAnsi="Times New Roman" w:eastAsia="宋体" w:cs="Times New Roman"/>
                      <w:color w:val="auto"/>
                      <w:szCs w:val="21"/>
                      <w:highlight w:val="none"/>
                      <w:lang w:eastAsia="zh-CN"/>
                    </w:rPr>
                    <w:t>)</w:t>
                  </w:r>
                </w:p>
              </w:tc>
              <w:tc>
                <w:tcPr>
                  <w:tcW w:w="643" w:type="pct"/>
                  <w:vAlign w:val="center"/>
                </w:tcPr>
                <w:p w14:paraId="71048030">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产生工序</w:t>
                  </w:r>
                </w:p>
                <w:p w14:paraId="54B698EA">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及装置</w:t>
                  </w:r>
                </w:p>
              </w:tc>
              <w:tc>
                <w:tcPr>
                  <w:tcW w:w="395" w:type="pct"/>
                  <w:vAlign w:val="center"/>
                </w:tcPr>
                <w:p w14:paraId="7C151D00">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形态</w:t>
                  </w:r>
                </w:p>
              </w:tc>
              <w:tc>
                <w:tcPr>
                  <w:tcW w:w="519" w:type="pct"/>
                  <w:vAlign w:val="center"/>
                </w:tcPr>
                <w:p w14:paraId="51067A97">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有害</w:t>
                  </w:r>
                </w:p>
                <w:p w14:paraId="0099DAC9">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成分</w:t>
                  </w:r>
                </w:p>
              </w:tc>
              <w:tc>
                <w:tcPr>
                  <w:tcW w:w="519" w:type="pct"/>
                  <w:vAlign w:val="center"/>
                </w:tcPr>
                <w:p w14:paraId="296B0206">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产废</w:t>
                  </w:r>
                </w:p>
                <w:p w14:paraId="09397215">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周期</w:t>
                  </w:r>
                </w:p>
              </w:tc>
              <w:tc>
                <w:tcPr>
                  <w:tcW w:w="520" w:type="pct"/>
                  <w:vAlign w:val="center"/>
                </w:tcPr>
                <w:p w14:paraId="7BDA3CB2">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w:t>
                  </w:r>
                </w:p>
                <w:p w14:paraId="7E576F89">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特性</w:t>
                  </w:r>
                </w:p>
              </w:tc>
            </w:tr>
            <w:tr w14:paraId="1A4ED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vAlign w:val="center"/>
                </w:tcPr>
                <w:p w14:paraId="7F2629AB">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废原料空桶及废抹布</w:t>
                  </w:r>
                </w:p>
              </w:tc>
              <w:tc>
                <w:tcPr>
                  <w:tcW w:w="448" w:type="pct"/>
                  <w:vAlign w:val="center"/>
                </w:tcPr>
                <w:p w14:paraId="76198578">
                  <w:pPr>
                    <w:pStyle w:val="36"/>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HW49</w:t>
                  </w:r>
                </w:p>
              </w:tc>
              <w:tc>
                <w:tcPr>
                  <w:tcW w:w="698" w:type="pct"/>
                  <w:vAlign w:val="center"/>
                </w:tcPr>
                <w:p w14:paraId="4C2252A4">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900-041-49</w:t>
                  </w:r>
                </w:p>
              </w:tc>
              <w:tc>
                <w:tcPr>
                  <w:tcW w:w="550" w:type="pct"/>
                  <w:vAlign w:val="center"/>
                </w:tcPr>
                <w:p w14:paraId="5BC935C4">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0.6</w:t>
                  </w:r>
                </w:p>
              </w:tc>
              <w:tc>
                <w:tcPr>
                  <w:tcW w:w="643" w:type="pct"/>
                  <w:vAlign w:val="center"/>
                </w:tcPr>
                <w:p w14:paraId="51209863">
                  <w:pPr>
                    <w:pStyle w:val="3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印刷</w:t>
                  </w:r>
                </w:p>
              </w:tc>
              <w:tc>
                <w:tcPr>
                  <w:tcW w:w="395" w:type="pct"/>
                  <w:vAlign w:val="center"/>
                </w:tcPr>
                <w:p w14:paraId="6A82F54A">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固态</w:t>
                  </w:r>
                </w:p>
              </w:tc>
              <w:tc>
                <w:tcPr>
                  <w:tcW w:w="519" w:type="pct"/>
                  <w:vAlign w:val="center"/>
                </w:tcPr>
                <w:p w14:paraId="3D09043B">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有机物</w:t>
                  </w:r>
                </w:p>
              </w:tc>
              <w:tc>
                <w:tcPr>
                  <w:tcW w:w="519" w:type="pct"/>
                  <w:vAlign w:val="center"/>
                </w:tcPr>
                <w:p w14:paraId="1DF417F0">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无固定</w:t>
                  </w:r>
                </w:p>
              </w:tc>
              <w:tc>
                <w:tcPr>
                  <w:tcW w:w="520" w:type="pct"/>
                  <w:vAlign w:val="center"/>
                </w:tcPr>
                <w:p w14:paraId="3847171F">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T/In</w:t>
                  </w:r>
                </w:p>
              </w:tc>
            </w:tr>
            <w:tr w14:paraId="03BE2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vAlign w:val="center"/>
                </w:tcPr>
                <w:p w14:paraId="1AB7D1CC">
                  <w:pPr>
                    <w:pStyle w:val="3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废活性炭</w:t>
                  </w:r>
                </w:p>
              </w:tc>
              <w:tc>
                <w:tcPr>
                  <w:tcW w:w="448" w:type="pct"/>
                  <w:vAlign w:val="center"/>
                </w:tcPr>
                <w:p w14:paraId="20D1F105">
                  <w:pPr>
                    <w:pStyle w:val="36"/>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bCs/>
                      <w:color w:val="auto"/>
                      <w:szCs w:val="21"/>
                      <w:highlight w:val="none"/>
                    </w:rPr>
                    <w:t>HW49</w:t>
                  </w:r>
                </w:p>
              </w:tc>
              <w:tc>
                <w:tcPr>
                  <w:tcW w:w="698" w:type="pct"/>
                  <w:vAlign w:val="center"/>
                </w:tcPr>
                <w:p w14:paraId="67B685CC">
                  <w:pPr>
                    <w:pStyle w:val="3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900-039-49</w:t>
                  </w:r>
                </w:p>
              </w:tc>
              <w:tc>
                <w:tcPr>
                  <w:tcW w:w="550" w:type="pct"/>
                  <w:vAlign w:val="center"/>
                </w:tcPr>
                <w:p w14:paraId="73A7D202">
                  <w:pPr>
                    <w:pStyle w:val="36"/>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Cs w:val="21"/>
                      <w:highlight w:val="none"/>
                      <w:lang w:val="en-US" w:eastAsia="zh-CN"/>
                    </w:rPr>
                    <w:t>1.18</w:t>
                  </w:r>
                </w:p>
              </w:tc>
              <w:tc>
                <w:tcPr>
                  <w:tcW w:w="643" w:type="pct"/>
                  <w:vAlign w:val="center"/>
                </w:tcPr>
                <w:p w14:paraId="72925D5E">
                  <w:pPr>
                    <w:pStyle w:val="36"/>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1"/>
                      <w:highlight w:val="none"/>
                      <w:lang w:eastAsia="zh-CN"/>
                    </w:rPr>
                    <w:t>二级活性炭吸附装置</w:t>
                  </w:r>
                </w:p>
              </w:tc>
              <w:tc>
                <w:tcPr>
                  <w:tcW w:w="395" w:type="pct"/>
                  <w:vAlign w:val="center"/>
                </w:tcPr>
                <w:p w14:paraId="487D9BAE">
                  <w:pPr>
                    <w:pStyle w:val="3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固态</w:t>
                  </w:r>
                </w:p>
              </w:tc>
              <w:tc>
                <w:tcPr>
                  <w:tcW w:w="519" w:type="pct"/>
                  <w:vAlign w:val="center"/>
                </w:tcPr>
                <w:p w14:paraId="0E2BD140">
                  <w:pPr>
                    <w:pStyle w:val="3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有机物</w:t>
                  </w:r>
                </w:p>
              </w:tc>
              <w:tc>
                <w:tcPr>
                  <w:tcW w:w="519" w:type="pct"/>
                  <w:vAlign w:val="center"/>
                </w:tcPr>
                <w:p w14:paraId="042F04AC">
                  <w:pPr>
                    <w:pStyle w:val="3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无固定</w:t>
                  </w:r>
                </w:p>
              </w:tc>
              <w:tc>
                <w:tcPr>
                  <w:tcW w:w="520" w:type="pct"/>
                  <w:vAlign w:val="center"/>
                </w:tcPr>
                <w:p w14:paraId="00AE02CE">
                  <w:pPr>
                    <w:pStyle w:val="36"/>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Cs w:val="21"/>
                      <w:highlight w:val="none"/>
                    </w:rPr>
                    <w:t>T</w:t>
                  </w:r>
                </w:p>
              </w:tc>
            </w:tr>
            <w:tr w14:paraId="4DEA4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 w:type="pct"/>
                  <w:vAlign w:val="center"/>
                </w:tcPr>
                <w:p w14:paraId="16F93E16">
                  <w:pPr>
                    <w:pStyle w:val="3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废网版</w:t>
                  </w:r>
                </w:p>
              </w:tc>
              <w:tc>
                <w:tcPr>
                  <w:tcW w:w="448" w:type="pct"/>
                  <w:vAlign w:val="center"/>
                </w:tcPr>
                <w:p w14:paraId="227C74D3">
                  <w:pPr>
                    <w:pStyle w:val="36"/>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HW16</w:t>
                  </w:r>
                </w:p>
              </w:tc>
              <w:tc>
                <w:tcPr>
                  <w:tcW w:w="698" w:type="pct"/>
                  <w:vAlign w:val="center"/>
                </w:tcPr>
                <w:p w14:paraId="0F90F7AF">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231-002-16</w:t>
                  </w:r>
                </w:p>
              </w:tc>
              <w:tc>
                <w:tcPr>
                  <w:tcW w:w="550" w:type="pct"/>
                  <w:vAlign w:val="center"/>
                </w:tcPr>
                <w:p w14:paraId="0809B444">
                  <w:pPr>
                    <w:pStyle w:val="36"/>
                    <w:rPr>
                      <w:rFonts w:hint="default" w:ascii="Times New Roman" w:hAnsi="Times New Roman" w:cs="Times New Roman"/>
                      <w:color w:val="auto"/>
                      <w:szCs w:val="21"/>
                      <w:highlight w:val="none"/>
                    </w:rPr>
                  </w:pPr>
                  <w:r>
                    <w:rPr>
                      <w:rFonts w:hint="eastAsia" w:ascii="Times New Roman" w:hAnsi="Times New Roman" w:eastAsia="宋体" w:cs="Times New Roman"/>
                      <w:color w:val="auto"/>
                      <w:szCs w:val="21"/>
                      <w:highlight w:val="none"/>
                      <w:lang w:val="en-US" w:eastAsia="zh-CN"/>
                    </w:rPr>
                    <w:t>0.1</w:t>
                  </w:r>
                </w:p>
              </w:tc>
              <w:tc>
                <w:tcPr>
                  <w:tcW w:w="643" w:type="pct"/>
                  <w:vAlign w:val="center"/>
                </w:tcPr>
                <w:p w14:paraId="14F6EB7A">
                  <w:pPr>
                    <w:pStyle w:val="3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印刷</w:t>
                  </w:r>
                </w:p>
              </w:tc>
              <w:tc>
                <w:tcPr>
                  <w:tcW w:w="395" w:type="pct"/>
                  <w:vAlign w:val="center"/>
                </w:tcPr>
                <w:p w14:paraId="2FD1774B">
                  <w:pPr>
                    <w:pStyle w:val="3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固态</w:t>
                  </w:r>
                </w:p>
              </w:tc>
              <w:tc>
                <w:tcPr>
                  <w:tcW w:w="519" w:type="pct"/>
                  <w:vAlign w:val="center"/>
                </w:tcPr>
                <w:p w14:paraId="27E84A2F">
                  <w:pPr>
                    <w:pStyle w:val="3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有机物</w:t>
                  </w:r>
                </w:p>
              </w:tc>
              <w:tc>
                <w:tcPr>
                  <w:tcW w:w="519" w:type="pct"/>
                  <w:vAlign w:val="center"/>
                </w:tcPr>
                <w:p w14:paraId="574A8066">
                  <w:pPr>
                    <w:pStyle w:val="3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无固定</w:t>
                  </w:r>
                </w:p>
              </w:tc>
              <w:tc>
                <w:tcPr>
                  <w:tcW w:w="520" w:type="pct"/>
                  <w:vAlign w:val="center"/>
                </w:tcPr>
                <w:p w14:paraId="0D4F1FFF">
                  <w:pPr>
                    <w:pStyle w:val="36"/>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T</w:t>
                  </w:r>
                </w:p>
              </w:tc>
            </w:tr>
          </w:tbl>
          <w:p w14:paraId="6690B400">
            <w:pPr>
              <w:numPr>
                <w:ilvl w:val="0"/>
                <w:numId w:val="4"/>
              </w:numPr>
              <w:spacing w:line="360" w:lineRule="auto"/>
              <w:ind w:left="0" w:leftChars="0"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生活垃圾</w:t>
            </w:r>
          </w:p>
          <w:p w14:paraId="67AD149E">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kern w:val="0"/>
                <w:sz w:val="24"/>
                <w:highlight w:val="none"/>
              </w:rPr>
              <w:t>根据</w:t>
            </w:r>
            <w:r>
              <w:rPr>
                <w:rFonts w:hint="default" w:ascii="Times New Roman" w:hAnsi="Times New Roman" w:cs="Times New Roman"/>
                <w:color w:val="000000"/>
                <w:sz w:val="24"/>
                <w:highlight w:val="none"/>
              </w:rPr>
              <w:t>《固体废物分类与代码目录》（公告2024年第4号）</w:t>
            </w:r>
            <w:r>
              <w:rPr>
                <w:rFonts w:hint="default" w:ascii="Times New Roman" w:hAnsi="Times New Roman" w:cs="Times New Roman"/>
                <w:kern w:val="0"/>
                <w:sz w:val="24"/>
                <w:highlight w:val="none"/>
              </w:rPr>
              <w:t>，生活垃圾</w:t>
            </w:r>
            <w:r>
              <w:rPr>
                <w:rFonts w:hint="default" w:ascii="Times New Roman" w:hAnsi="Times New Roman" w:cs="Times New Roman"/>
                <w:color w:val="000000"/>
                <w:sz w:val="24"/>
                <w:highlight w:val="none"/>
              </w:rPr>
              <w:t>固废代码为：类别代码：SW61厨余垃圾，废物代码：</w:t>
            </w:r>
            <w:r>
              <w:rPr>
                <w:rFonts w:hint="default" w:ascii="Times New Roman" w:hAnsi="Times New Roman" w:cs="Times New Roman"/>
                <w:color w:val="000000" w:themeColor="text1"/>
                <w:kern w:val="0"/>
                <w:sz w:val="24"/>
                <w:highlight w:val="none"/>
                <w14:textFill>
                  <w14:solidFill>
                    <w14:schemeClr w14:val="tx1"/>
                  </w14:solidFill>
                </w14:textFill>
              </w:rPr>
              <w:t>900-002-S61。</w:t>
            </w:r>
          </w:p>
          <w:p w14:paraId="123DC16A">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生活垃圾由下式估算：</w:t>
            </w:r>
          </w:p>
          <w:p w14:paraId="6631AB6A">
            <w:pPr>
              <w:spacing w:line="360" w:lineRule="auto"/>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G＝K×N</w:t>
            </w:r>
          </w:p>
          <w:p w14:paraId="1A89EC49">
            <w:pPr>
              <w:spacing w:line="360" w:lineRule="auto"/>
              <w:ind w:firstLine="48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式中：G</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生活垃圾产生量</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kg/d</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w:t>
            </w:r>
          </w:p>
          <w:p w14:paraId="383A59C7">
            <w:pPr>
              <w:spacing w:line="360" w:lineRule="auto"/>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K</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人均排放系数</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kg/人•d</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w:t>
            </w:r>
          </w:p>
          <w:p w14:paraId="3192F60B">
            <w:pPr>
              <w:spacing w:line="360" w:lineRule="auto"/>
              <w:ind w:firstLine="1200" w:firstLineChars="5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N</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人口数</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w:t>
            </w:r>
          </w:p>
          <w:p w14:paraId="32C0F7C4">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不住厂职工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的人均排放系数按</w:t>
            </w:r>
            <w:r>
              <w:rPr>
                <w:rFonts w:hint="default" w:ascii="Times New Roman" w:hAnsi="Times New Roman" w:cs="Times New Roman"/>
                <w:color w:val="000000" w:themeColor="text1"/>
                <w:sz w:val="24"/>
                <w:highlight w:val="none"/>
                <w14:textFill>
                  <w14:solidFill>
                    <w14:schemeClr w14:val="tx1"/>
                  </w14:solidFill>
                </w14:textFill>
              </w:rPr>
              <w:t>0.5kg/人•d</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计算</w:t>
            </w:r>
            <w:r>
              <w:rPr>
                <w:rFonts w:hint="default" w:ascii="Times New Roman" w:hAnsi="Times New Roman" w:cs="Times New Roman"/>
                <w:color w:val="000000" w:themeColor="text1"/>
                <w:sz w:val="24"/>
                <w:highlight w:val="none"/>
                <w14:textFill>
                  <w14:solidFill>
                    <w14:schemeClr w14:val="tx1"/>
                  </w14:solidFill>
                </w14:textFill>
              </w:rPr>
              <w:t>。项目员工50人，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均不</w:t>
            </w:r>
            <w:r>
              <w:rPr>
                <w:rFonts w:hint="default" w:ascii="Times New Roman" w:hAnsi="Times New Roman" w:cs="Times New Roman"/>
                <w:color w:val="000000" w:themeColor="text1"/>
                <w:sz w:val="24"/>
                <w:highlight w:val="none"/>
                <w14:textFill>
                  <w14:solidFill>
                    <w14:schemeClr w14:val="tx1"/>
                  </w14:solidFill>
                </w14:textFill>
              </w:rPr>
              <w:t>住厂，年生产3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cs="Times New Roman"/>
                <w:color w:val="000000" w:themeColor="text1"/>
                <w:sz w:val="24"/>
                <w:highlight w:val="none"/>
                <w14:textFill>
                  <w14:solidFill>
                    <w14:schemeClr w14:val="tx1"/>
                  </w14:solidFill>
                </w14:textFill>
              </w:rPr>
              <w:t>天，则项目生活垃圾产生量为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7.8</w:t>
            </w:r>
            <w:r>
              <w:rPr>
                <w:rFonts w:hint="default" w:ascii="Times New Roman" w:hAnsi="Times New Roman" w:cs="Times New Roman"/>
                <w:color w:val="000000" w:themeColor="text1"/>
                <w:sz w:val="24"/>
                <w:highlight w:val="none"/>
                <w14:textFill>
                  <w14:solidFill>
                    <w14:schemeClr w14:val="tx1"/>
                  </w14:solidFill>
                </w14:textFill>
              </w:rPr>
              <w:t>t/a。生活垃圾集中收集后，委托环卫部门清运处置。</w:t>
            </w:r>
          </w:p>
          <w:p w14:paraId="11F53D91">
            <w:pPr>
              <w:spacing w:line="360" w:lineRule="auto"/>
              <w:ind w:firstLine="480" w:firstLineChars="200"/>
              <w:rPr>
                <w:rFonts w:hint="default" w:ascii="Times New Roman" w:hAnsi="Times New Roman" w:cs="Times New Roman"/>
                <w:bCs/>
                <w:sz w:val="24"/>
                <w:highlight w:val="none"/>
              </w:rPr>
            </w:pPr>
            <w:r>
              <w:rPr>
                <w:rFonts w:hint="default" w:ascii="Times New Roman" w:hAnsi="Times New Roman" w:cs="Times New Roman"/>
                <w:bCs/>
                <w:sz w:val="24"/>
                <w:highlight w:val="none"/>
              </w:rPr>
              <w:t>项目固体废物汇总表详见表</w:t>
            </w:r>
            <w:r>
              <w:rPr>
                <w:rFonts w:hint="eastAsia" w:ascii="Times New Roman" w:hAnsi="Times New Roman" w:eastAsia="宋体" w:cs="Times New Roman"/>
                <w:bCs/>
                <w:sz w:val="24"/>
                <w:highlight w:val="none"/>
                <w:lang w:val="en-US" w:eastAsia="zh-CN"/>
              </w:rPr>
              <w:t>4.4-4</w:t>
            </w:r>
            <w:r>
              <w:rPr>
                <w:rFonts w:hint="default" w:ascii="Times New Roman" w:hAnsi="Times New Roman" w:cs="Times New Roman"/>
                <w:bCs/>
                <w:sz w:val="24"/>
                <w:highlight w:val="none"/>
              </w:rPr>
              <w:t>。</w:t>
            </w:r>
          </w:p>
          <w:p w14:paraId="713128FB">
            <w:pPr>
              <w:spacing w:before="120" w:beforeLines="50"/>
              <w:jc w:val="center"/>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表</w:t>
            </w:r>
            <w:r>
              <w:rPr>
                <w:rFonts w:hint="default" w:ascii="Times New Roman" w:hAnsi="Times New Roman" w:eastAsia="宋体" w:cs="Times New Roman"/>
                <w:b/>
                <w:bCs/>
                <w:color w:val="000000"/>
                <w:sz w:val="24"/>
                <w:highlight w:val="none"/>
                <w:lang w:val="en-US" w:eastAsia="zh-CN"/>
              </w:rPr>
              <w:t>4</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lang w:val="en-US" w:eastAsia="zh-CN"/>
              </w:rPr>
              <w:t>-</w:t>
            </w:r>
            <w:r>
              <w:rPr>
                <w:rFonts w:hint="eastAsia" w:ascii="Times New Roman" w:hAnsi="Times New Roman" w:eastAsia="宋体" w:cs="Times New Roman"/>
                <w:b/>
                <w:bCs/>
                <w:color w:val="000000"/>
                <w:sz w:val="24"/>
                <w:highlight w:val="none"/>
                <w:lang w:val="en-US" w:eastAsia="zh-CN"/>
              </w:rPr>
              <w:t>4</w:t>
            </w:r>
            <w:r>
              <w:rPr>
                <w:rFonts w:hint="default" w:ascii="Times New Roman" w:hAnsi="Times New Roman" w:eastAsia="宋体" w:cs="Times New Roman"/>
                <w:b/>
                <w:bCs/>
                <w:color w:val="000000"/>
                <w:sz w:val="24"/>
                <w:highlight w:val="none"/>
              </w:rPr>
              <w:t xml:space="preserve"> 项目生产固体废物产生及排放情况一览表</w:t>
            </w:r>
          </w:p>
          <w:tbl>
            <w:tblPr>
              <w:tblStyle w:val="17"/>
              <w:tblW w:w="8277" w:type="dxa"/>
              <w:tblInd w:w="-1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196"/>
              <w:gridCol w:w="938"/>
              <w:gridCol w:w="1430"/>
              <w:gridCol w:w="938"/>
              <w:gridCol w:w="881"/>
              <w:gridCol w:w="830"/>
              <w:gridCol w:w="1495"/>
            </w:tblGrid>
            <w:tr w14:paraId="45E0A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43" w:type="pct"/>
                  <w:shd w:val="clear" w:color="auto" w:fill="auto"/>
                  <w:vAlign w:val="center"/>
                </w:tcPr>
                <w:p w14:paraId="05FE217E">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序号</w:t>
                  </w:r>
                </w:p>
              </w:tc>
              <w:tc>
                <w:tcPr>
                  <w:tcW w:w="722" w:type="pct"/>
                  <w:shd w:val="clear" w:color="auto" w:fill="auto"/>
                  <w:vAlign w:val="center"/>
                </w:tcPr>
                <w:p w14:paraId="01579F71">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固废名称</w:t>
                  </w:r>
                </w:p>
              </w:tc>
              <w:tc>
                <w:tcPr>
                  <w:tcW w:w="566" w:type="pct"/>
                  <w:shd w:val="clear" w:color="auto" w:fill="auto"/>
                  <w:vAlign w:val="center"/>
                </w:tcPr>
                <w:p w14:paraId="198C5C2A">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废物</w:t>
                  </w:r>
                </w:p>
                <w:p w14:paraId="38B86DE2">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类别</w:t>
                  </w:r>
                </w:p>
              </w:tc>
              <w:tc>
                <w:tcPr>
                  <w:tcW w:w="863" w:type="pct"/>
                  <w:shd w:val="clear" w:color="auto" w:fill="auto"/>
                  <w:vAlign w:val="center"/>
                </w:tcPr>
                <w:p w14:paraId="165C460B">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废物代码</w:t>
                  </w:r>
                </w:p>
              </w:tc>
              <w:tc>
                <w:tcPr>
                  <w:tcW w:w="566" w:type="pct"/>
                  <w:shd w:val="clear" w:color="auto" w:fill="auto"/>
                  <w:vAlign w:val="center"/>
                </w:tcPr>
                <w:p w14:paraId="6CF7C20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产生量</w:t>
                  </w:r>
                </w:p>
                <w:p w14:paraId="77DA6811">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t/a</w:t>
                  </w:r>
                </w:p>
              </w:tc>
              <w:tc>
                <w:tcPr>
                  <w:tcW w:w="532" w:type="pct"/>
                  <w:shd w:val="clear" w:color="auto" w:fill="auto"/>
                  <w:vAlign w:val="center"/>
                </w:tcPr>
                <w:p w14:paraId="10D74DF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排放量</w:t>
                  </w:r>
                </w:p>
                <w:p w14:paraId="2ED5AA1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t/a</w:t>
                  </w:r>
                </w:p>
              </w:tc>
              <w:tc>
                <w:tcPr>
                  <w:tcW w:w="501" w:type="pct"/>
                  <w:vAlign w:val="center"/>
                </w:tcPr>
                <w:p w14:paraId="55EBB74E">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贮存方式</w:t>
                  </w:r>
                </w:p>
              </w:tc>
              <w:tc>
                <w:tcPr>
                  <w:tcW w:w="903" w:type="pct"/>
                  <w:shd w:val="clear" w:color="auto" w:fill="auto"/>
                  <w:vAlign w:val="center"/>
                </w:tcPr>
                <w:p w14:paraId="4EE421F2">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处置</w:t>
                  </w:r>
                </w:p>
                <w:p w14:paraId="20F72F5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措施</w:t>
                  </w:r>
                </w:p>
              </w:tc>
            </w:tr>
            <w:tr w14:paraId="6AB9E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343" w:type="pct"/>
                  <w:shd w:val="clear" w:color="auto" w:fill="auto"/>
                  <w:vAlign w:val="center"/>
                </w:tcPr>
                <w:p w14:paraId="2F9E4B0F">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1</w:t>
                  </w:r>
                </w:p>
              </w:tc>
              <w:tc>
                <w:tcPr>
                  <w:tcW w:w="722" w:type="pct"/>
                  <w:shd w:val="clear" w:color="auto" w:fill="auto"/>
                  <w:vAlign w:val="center"/>
                </w:tcPr>
                <w:p w14:paraId="3EBC03FA">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塑料件</w:t>
                  </w:r>
                  <w:r>
                    <w:rPr>
                      <w:rFonts w:hint="eastAsia" w:ascii="Times New Roman" w:hAnsi="Times New Roman" w:eastAsia="宋体" w:cs="Times New Roman"/>
                      <w:bCs/>
                      <w:szCs w:val="21"/>
                      <w:highlight w:val="none"/>
                      <w:lang w:val="en-US" w:eastAsia="zh-CN"/>
                    </w:rPr>
                    <w:t>包装、</w:t>
                  </w:r>
                  <w:r>
                    <w:rPr>
                      <w:rFonts w:hint="default" w:ascii="Times New Roman" w:hAnsi="Times New Roman" w:cs="Times New Roman"/>
                      <w:bCs/>
                      <w:szCs w:val="21"/>
                      <w:highlight w:val="none"/>
                    </w:rPr>
                    <w:t>边角料、</w:t>
                  </w:r>
                  <w:r>
                    <w:rPr>
                      <w:rFonts w:hint="default" w:ascii="Times New Roman" w:hAnsi="Times New Roman" w:eastAsia="宋体" w:cs="Times New Roman"/>
                      <w:bCs/>
                      <w:szCs w:val="21"/>
                      <w:highlight w:val="none"/>
                      <w:lang w:val="en-US" w:eastAsia="zh-CN"/>
                    </w:rPr>
                    <w:t>不合格</w:t>
                  </w:r>
                  <w:r>
                    <w:rPr>
                      <w:rFonts w:hint="default" w:ascii="Times New Roman" w:hAnsi="Times New Roman" w:cs="Times New Roman"/>
                      <w:bCs/>
                      <w:szCs w:val="21"/>
                      <w:highlight w:val="none"/>
                    </w:rPr>
                    <w:t>品</w:t>
                  </w:r>
                </w:p>
              </w:tc>
              <w:tc>
                <w:tcPr>
                  <w:tcW w:w="566" w:type="pct"/>
                  <w:shd w:val="clear" w:color="auto" w:fill="auto"/>
                  <w:vAlign w:val="center"/>
                </w:tcPr>
                <w:p w14:paraId="653C27B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一般</w:t>
                  </w:r>
                </w:p>
                <w:p w14:paraId="4FCD54F3">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固废</w:t>
                  </w:r>
                </w:p>
              </w:tc>
              <w:tc>
                <w:tcPr>
                  <w:tcW w:w="863" w:type="pct"/>
                  <w:shd w:val="clear" w:color="auto" w:fill="auto"/>
                  <w:vAlign w:val="center"/>
                </w:tcPr>
                <w:p w14:paraId="1340DF92">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900-003-S17</w:t>
                  </w:r>
                </w:p>
              </w:tc>
              <w:tc>
                <w:tcPr>
                  <w:tcW w:w="566" w:type="pct"/>
                  <w:shd w:val="clear" w:color="auto" w:fill="auto"/>
                  <w:vAlign w:val="center"/>
                </w:tcPr>
                <w:p w14:paraId="6B9518C5">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140.616</w:t>
                  </w:r>
                </w:p>
              </w:tc>
              <w:tc>
                <w:tcPr>
                  <w:tcW w:w="532" w:type="pct"/>
                  <w:shd w:val="clear" w:color="auto" w:fill="auto"/>
                  <w:vAlign w:val="center"/>
                </w:tcPr>
                <w:p w14:paraId="0D74C503">
                  <w:pPr>
                    <w:spacing w:line="340" w:lineRule="exact"/>
                    <w:jc w:val="center"/>
                    <w:rPr>
                      <w:rFonts w:hint="default" w:ascii="Times New Roman" w:hAnsi="Times New Roman" w:eastAsia="宋体" w:cs="Times New Roman"/>
                      <w:bCs/>
                      <w:szCs w:val="21"/>
                      <w:highlight w:val="none"/>
                      <w:lang w:eastAsia="zh-CN"/>
                    </w:rPr>
                  </w:pPr>
                  <w:r>
                    <w:rPr>
                      <w:rFonts w:hint="default" w:ascii="Times New Roman" w:hAnsi="Times New Roman" w:eastAsia="宋体" w:cs="Times New Roman"/>
                      <w:bCs/>
                      <w:szCs w:val="21"/>
                      <w:highlight w:val="none"/>
                      <w:lang w:val="en-US" w:eastAsia="zh-CN"/>
                    </w:rPr>
                    <w:t>0</w:t>
                  </w:r>
                </w:p>
              </w:tc>
              <w:tc>
                <w:tcPr>
                  <w:tcW w:w="501" w:type="pct"/>
                  <w:vAlign w:val="center"/>
                </w:tcPr>
                <w:p w14:paraId="33D0A3A7">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一般固废暂存间</w:t>
                  </w:r>
                </w:p>
              </w:tc>
              <w:tc>
                <w:tcPr>
                  <w:tcW w:w="903" w:type="pct"/>
                  <w:shd w:val="clear" w:color="auto" w:fill="auto"/>
                  <w:vAlign w:val="center"/>
                </w:tcPr>
                <w:p w14:paraId="4797C946">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外售给物资回收单位回收</w:t>
                  </w:r>
                </w:p>
              </w:tc>
            </w:tr>
            <w:tr w14:paraId="61A08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43" w:type="pct"/>
                  <w:shd w:val="clear" w:color="auto" w:fill="auto"/>
                  <w:vAlign w:val="center"/>
                </w:tcPr>
                <w:p w14:paraId="56DFA65D">
                  <w:pPr>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2</w:t>
                  </w:r>
                </w:p>
              </w:tc>
              <w:tc>
                <w:tcPr>
                  <w:tcW w:w="722" w:type="pct"/>
                  <w:shd w:val="clear" w:color="auto" w:fill="auto"/>
                  <w:vAlign w:val="center"/>
                </w:tcPr>
                <w:p w14:paraId="5CFE30CC">
                  <w:pPr>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废原料空桶</w:t>
                  </w:r>
                  <w:r>
                    <w:rPr>
                      <w:rFonts w:hint="eastAsia" w:ascii="Times New Roman" w:hAnsi="Times New Roman" w:eastAsia="宋体" w:cs="Times New Roman"/>
                      <w:bCs/>
                      <w:szCs w:val="21"/>
                      <w:highlight w:val="none"/>
                      <w:lang w:val="en-US" w:eastAsia="zh-CN"/>
                    </w:rPr>
                    <w:t>、废抹布</w:t>
                  </w:r>
                </w:p>
              </w:tc>
              <w:tc>
                <w:tcPr>
                  <w:tcW w:w="566" w:type="pct"/>
                  <w:shd w:val="clear" w:color="auto" w:fill="auto"/>
                  <w:vAlign w:val="center"/>
                </w:tcPr>
                <w:p w14:paraId="6D9134C2">
                  <w:pPr>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危废废物</w:t>
                  </w:r>
                </w:p>
              </w:tc>
              <w:tc>
                <w:tcPr>
                  <w:tcW w:w="863" w:type="pct"/>
                  <w:shd w:val="clear" w:color="auto" w:fill="auto"/>
                  <w:vAlign w:val="center"/>
                </w:tcPr>
                <w:p w14:paraId="76A1F5DA">
                  <w:pPr>
                    <w:spacing w:line="340" w:lineRule="exact"/>
                    <w:jc w:val="center"/>
                    <w:rPr>
                      <w:rFonts w:hint="default" w:ascii="Times New Roman" w:hAnsi="Times New Roman" w:cs="Times New Roman"/>
                      <w:bCs/>
                      <w:szCs w:val="21"/>
                      <w:highlight w:val="none"/>
                    </w:rPr>
                  </w:pPr>
                  <w:r>
                    <w:rPr>
                      <w:rFonts w:hint="default" w:ascii="Times New Roman" w:hAnsi="Times New Roman" w:eastAsia="宋体" w:cs="Times New Roman"/>
                      <w:sz w:val="21"/>
                      <w:szCs w:val="18"/>
                      <w:highlight w:val="none"/>
                      <w:lang w:val="en-US" w:eastAsia="zh-CN"/>
                    </w:rPr>
                    <w:t>900-041-49</w:t>
                  </w:r>
                </w:p>
              </w:tc>
              <w:tc>
                <w:tcPr>
                  <w:tcW w:w="566" w:type="pct"/>
                  <w:shd w:val="clear" w:color="auto" w:fill="auto"/>
                  <w:vAlign w:val="center"/>
                </w:tcPr>
                <w:p w14:paraId="3E61A44E">
                  <w:pPr>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0.</w:t>
                  </w:r>
                  <w:r>
                    <w:rPr>
                      <w:rFonts w:hint="eastAsia" w:ascii="Times New Roman" w:hAnsi="Times New Roman" w:eastAsia="宋体" w:cs="Times New Roman"/>
                      <w:bCs/>
                      <w:szCs w:val="21"/>
                      <w:highlight w:val="none"/>
                      <w:lang w:val="en-US" w:eastAsia="zh-CN"/>
                    </w:rPr>
                    <w:t>6</w:t>
                  </w:r>
                </w:p>
              </w:tc>
              <w:tc>
                <w:tcPr>
                  <w:tcW w:w="532" w:type="pct"/>
                  <w:shd w:val="clear" w:color="auto" w:fill="auto"/>
                  <w:vAlign w:val="center"/>
                </w:tcPr>
                <w:p w14:paraId="42E924C5">
                  <w:pPr>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0</w:t>
                  </w:r>
                </w:p>
              </w:tc>
              <w:tc>
                <w:tcPr>
                  <w:tcW w:w="501" w:type="pct"/>
                  <w:vMerge w:val="restart"/>
                  <w:vAlign w:val="center"/>
                </w:tcPr>
                <w:p w14:paraId="05346AA5">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桶装密封暂存于危废暂存间</w:t>
                  </w:r>
                </w:p>
              </w:tc>
              <w:tc>
                <w:tcPr>
                  <w:tcW w:w="903" w:type="pct"/>
                  <w:vMerge w:val="restart"/>
                  <w:shd w:val="clear" w:color="auto" w:fill="auto"/>
                  <w:vAlign w:val="center"/>
                </w:tcPr>
                <w:p w14:paraId="46EBDD96">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由有资质单位外运处置</w:t>
                  </w:r>
                </w:p>
              </w:tc>
            </w:tr>
            <w:tr w14:paraId="2E6E6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343" w:type="pct"/>
                  <w:shd w:val="clear" w:color="auto" w:fill="auto"/>
                  <w:vAlign w:val="center"/>
                </w:tcPr>
                <w:p w14:paraId="52162CA8">
                  <w:pPr>
                    <w:spacing w:line="340" w:lineRule="exact"/>
                    <w:jc w:val="center"/>
                    <w:rPr>
                      <w:rFonts w:hint="default" w:ascii="Times New Roman" w:hAnsi="Times New Roman" w:eastAsia="宋体" w:cs="Times New Roman"/>
                      <w:bCs/>
                      <w:szCs w:val="21"/>
                      <w:highlight w:val="none"/>
                      <w:lang w:eastAsia="zh-CN"/>
                    </w:rPr>
                  </w:pPr>
                  <w:r>
                    <w:rPr>
                      <w:rFonts w:hint="default" w:ascii="Times New Roman" w:hAnsi="Times New Roman" w:eastAsia="宋体" w:cs="Times New Roman"/>
                      <w:bCs/>
                      <w:szCs w:val="21"/>
                      <w:highlight w:val="none"/>
                      <w:lang w:val="en-US" w:eastAsia="zh-CN"/>
                    </w:rPr>
                    <w:t>3</w:t>
                  </w:r>
                </w:p>
              </w:tc>
              <w:tc>
                <w:tcPr>
                  <w:tcW w:w="722" w:type="pct"/>
                  <w:shd w:val="clear" w:color="auto" w:fill="auto"/>
                  <w:vAlign w:val="center"/>
                </w:tcPr>
                <w:p w14:paraId="2DFCE47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废活性炭</w:t>
                  </w:r>
                </w:p>
              </w:tc>
              <w:tc>
                <w:tcPr>
                  <w:tcW w:w="566" w:type="pct"/>
                  <w:shd w:val="clear" w:color="auto" w:fill="auto"/>
                  <w:vAlign w:val="center"/>
                </w:tcPr>
                <w:p w14:paraId="4A8B0F1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危废废物</w:t>
                  </w:r>
                </w:p>
              </w:tc>
              <w:tc>
                <w:tcPr>
                  <w:tcW w:w="863" w:type="pct"/>
                  <w:shd w:val="clear" w:color="auto" w:fill="auto"/>
                  <w:vAlign w:val="center"/>
                </w:tcPr>
                <w:p w14:paraId="16FBBA1E">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900-039-49</w:t>
                  </w:r>
                </w:p>
              </w:tc>
              <w:tc>
                <w:tcPr>
                  <w:tcW w:w="566" w:type="pct"/>
                  <w:shd w:val="clear" w:color="auto" w:fill="auto"/>
                  <w:vAlign w:val="center"/>
                </w:tcPr>
                <w:p w14:paraId="3236EF55">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1.18</w:t>
                  </w:r>
                </w:p>
              </w:tc>
              <w:tc>
                <w:tcPr>
                  <w:tcW w:w="532" w:type="pct"/>
                  <w:shd w:val="clear" w:color="auto" w:fill="auto"/>
                  <w:vAlign w:val="center"/>
                </w:tcPr>
                <w:p w14:paraId="51C37F9A">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w:t>
                  </w:r>
                </w:p>
              </w:tc>
              <w:tc>
                <w:tcPr>
                  <w:tcW w:w="501" w:type="pct"/>
                  <w:vMerge w:val="continue"/>
                  <w:vAlign w:val="center"/>
                </w:tcPr>
                <w:p w14:paraId="4FBA6817">
                  <w:pPr>
                    <w:spacing w:line="340" w:lineRule="exact"/>
                    <w:jc w:val="center"/>
                    <w:rPr>
                      <w:rFonts w:hint="default" w:ascii="Times New Roman" w:hAnsi="Times New Roman" w:cs="Times New Roman"/>
                      <w:bCs/>
                      <w:szCs w:val="21"/>
                      <w:highlight w:val="none"/>
                    </w:rPr>
                  </w:pPr>
                </w:p>
              </w:tc>
              <w:tc>
                <w:tcPr>
                  <w:tcW w:w="903" w:type="pct"/>
                  <w:vMerge w:val="continue"/>
                  <w:shd w:val="clear" w:color="auto" w:fill="auto"/>
                  <w:vAlign w:val="center"/>
                </w:tcPr>
                <w:p w14:paraId="2038AED1">
                  <w:pPr>
                    <w:spacing w:line="340" w:lineRule="exact"/>
                    <w:jc w:val="center"/>
                    <w:rPr>
                      <w:rFonts w:hint="default" w:ascii="Times New Roman" w:hAnsi="Times New Roman" w:cs="Times New Roman"/>
                      <w:bCs/>
                      <w:szCs w:val="21"/>
                      <w:highlight w:val="none"/>
                    </w:rPr>
                  </w:pPr>
                </w:p>
              </w:tc>
            </w:tr>
            <w:tr w14:paraId="7CB81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343" w:type="pct"/>
                  <w:shd w:val="clear" w:color="auto" w:fill="auto"/>
                  <w:vAlign w:val="center"/>
                </w:tcPr>
                <w:p w14:paraId="6693B70E">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4</w:t>
                  </w:r>
                </w:p>
              </w:tc>
              <w:tc>
                <w:tcPr>
                  <w:tcW w:w="722" w:type="pct"/>
                  <w:shd w:val="clear" w:color="auto" w:fill="auto"/>
                  <w:vAlign w:val="center"/>
                </w:tcPr>
                <w:p w14:paraId="0D5C2C71">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废网版</w:t>
                  </w:r>
                </w:p>
              </w:tc>
              <w:tc>
                <w:tcPr>
                  <w:tcW w:w="566" w:type="pct"/>
                  <w:shd w:val="clear" w:color="auto" w:fill="auto"/>
                  <w:vAlign w:val="center"/>
                </w:tcPr>
                <w:p w14:paraId="7A7C1E43">
                  <w:pPr>
                    <w:spacing w:line="340" w:lineRule="exact"/>
                    <w:jc w:val="center"/>
                    <w:rPr>
                      <w:rFonts w:hint="default"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危废废物</w:t>
                  </w:r>
                </w:p>
              </w:tc>
              <w:tc>
                <w:tcPr>
                  <w:tcW w:w="863" w:type="pct"/>
                  <w:shd w:val="clear" w:color="auto" w:fill="auto"/>
                  <w:vAlign w:val="center"/>
                </w:tcPr>
                <w:p w14:paraId="66B348EF">
                  <w:pPr>
                    <w:spacing w:line="340" w:lineRule="exact"/>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231-002-16</w:t>
                  </w:r>
                </w:p>
              </w:tc>
              <w:tc>
                <w:tcPr>
                  <w:tcW w:w="566" w:type="pct"/>
                  <w:shd w:val="clear" w:color="auto" w:fill="auto"/>
                  <w:vAlign w:val="center"/>
                </w:tcPr>
                <w:p w14:paraId="6D31026D">
                  <w:pPr>
                    <w:spacing w:line="340" w:lineRule="exact"/>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0.1</w:t>
                  </w:r>
                </w:p>
              </w:tc>
              <w:tc>
                <w:tcPr>
                  <w:tcW w:w="532" w:type="pct"/>
                  <w:shd w:val="clear" w:color="auto" w:fill="auto"/>
                  <w:vAlign w:val="center"/>
                </w:tcPr>
                <w:p w14:paraId="1DE3EAA0">
                  <w:pPr>
                    <w:spacing w:line="340" w:lineRule="exact"/>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w:t>
                  </w:r>
                </w:p>
              </w:tc>
              <w:tc>
                <w:tcPr>
                  <w:tcW w:w="501" w:type="pct"/>
                  <w:vMerge w:val="continue"/>
                  <w:vAlign w:val="center"/>
                </w:tcPr>
                <w:p w14:paraId="7BBC2A85">
                  <w:pPr>
                    <w:spacing w:line="340" w:lineRule="exact"/>
                    <w:jc w:val="center"/>
                    <w:rPr>
                      <w:rFonts w:hint="default" w:ascii="Times New Roman" w:hAnsi="Times New Roman" w:cs="Times New Roman"/>
                      <w:bCs/>
                      <w:szCs w:val="21"/>
                      <w:highlight w:val="none"/>
                    </w:rPr>
                  </w:pPr>
                </w:p>
              </w:tc>
              <w:tc>
                <w:tcPr>
                  <w:tcW w:w="903" w:type="pct"/>
                  <w:vMerge w:val="continue"/>
                  <w:shd w:val="clear" w:color="auto" w:fill="auto"/>
                  <w:vAlign w:val="center"/>
                </w:tcPr>
                <w:p w14:paraId="02173165">
                  <w:pPr>
                    <w:spacing w:line="340" w:lineRule="exact"/>
                    <w:jc w:val="center"/>
                    <w:rPr>
                      <w:rFonts w:hint="default" w:ascii="Times New Roman" w:hAnsi="Times New Roman" w:cs="Times New Roman"/>
                      <w:bCs/>
                      <w:szCs w:val="21"/>
                      <w:highlight w:val="none"/>
                    </w:rPr>
                  </w:pPr>
                </w:p>
              </w:tc>
            </w:tr>
            <w:tr w14:paraId="1CD30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343" w:type="pct"/>
                  <w:shd w:val="clear" w:color="auto" w:fill="auto"/>
                  <w:vAlign w:val="center"/>
                </w:tcPr>
                <w:p w14:paraId="693A72E7">
                  <w:pPr>
                    <w:spacing w:line="340" w:lineRule="exact"/>
                    <w:jc w:val="center"/>
                    <w:rPr>
                      <w:rFonts w:hint="default" w:ascii="Times New Roman" w:hAnsi="Times New Roman" w:eastAsia="宋体" w:cs="Times New Roman"/>
                      <w:bCs/>
                      <w:szCs w:val="21"/>
                      <w:highlight w:val="none"/>
                      <w:lang w:eastAsia="zh-CN"/>
                    </w:rPr>
                  </w:pPr>
                  <w:r>
                    <w:rPr>
                      <w:rFonts w:hint="eastAsia" w:ascii="Times New Roman" w:hAnsi="Times New Roman" w:eastAsia="宋体" w:cs="Times New Roman"/>
                      <w:bCs/>
                      <w:szCs w:val="21"/>
                      <w:highlight w:val="none"/>
                      <w:lang w:val="en-US" w:eastAsia="zh-CN"/>
                    </w:rPr>
                    <w:t>5</w:t>
                  </w:r>
                </w:p>
              </w:tc>
              <w:tc>
                <w:tcPr>
                  <w:tcW w:w="722" w:type="pct"/>
                  <w:shd w:val="clear" w:color="auto" w:fill="auto"/>
                  <w:vAlign w:val="center"/>
                </w:tcPr>
                <w:p w14:paraId="02570580">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生活垃圾</w:t>
                  </w:r>
                </w:p>
              </w:tc>
              <w:tc>
                <w:tcPr>
                  <w:tcW w:w="566" w:type="pct"/>
                  <w:shd w:val="clear" w:color="auto" w:fill="auto"/>
                  <w:vAlign w:val="center"/>
                </w:tcPr>
                <w:p w14:paraId="67D7A78D">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生活</w:t>
                  </w:r>
                </w:p>
                <w:p w14:paraId="5F7AC375">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垃圾</w:t>
                  </w:r>
                </w:p>
              </w:tc>
              <w:tc>
                <w:tcPr>
                  <w:tcW w:w="863" w:type="pct"/>
                  <w:shd w:val="clear" w:color="auto" w:fill="auto"/>
                  <w:vAlign w:val="center"/>
                </w:tcPr>
                <w:p w14:paraId="03A9560C">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900-002-S61</w:t>
                  </w:r>
                </w:p>
              </w:tc>
              <w:tc>
                <w:tcPr>
                  <w:tcW w:w="566" w:type="pct"/>
                  <w:shd w:val="clear" w:color="auto" w:fill="auto"/>
                  <w:vAlign w:val="center"/>
                </w:tcPr>
                <w:p w14:paraId="1256BC1D">
                  <w:pPr>
                    <w:spacing w:line="340" w:lineRule="exact"/>
                    <w:jc w:val="center"/>
                    <w:rPr>
                      <w:rFonts w:hint="default"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7.8</w:t>
                  </w:r>
                </w:p>
              </w:tc>
              <w:tc>
                <w:tcPr>
                  <w:tcW w:w="532" w:type="pct"/>
                  <w:shd w:val="clear" w:color="auto" w:fill="auto"/>
                  <w:vAlign w:val="center"/>
                </w:tcPr>
                <w:p w14:paraId="247B6F64">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0</w:t>
                  </w:r>
                </w:p>
              </w:tc>
              <w:tc>
                <w:tcPr>
                  <w:tcW w:w="501" w:type="pct"/>
                  <w:vAlign w:val="center"/>
                </w:tcPr>
                <w:p w14:paraId="2E6D146A">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垃圾桶</w:t>
                  </w:r>
                </w:p>
              </w:tc>
              <w:tc>
                <w:tcPr>
                  <w:tcW w:w="903" w:type="pct"/>
                  <w:shd w:val="clear" w:color="auto" w:fill="auto"/>
                  <w:vAlign w:val="center"/>
                </w:tcPr>
                <w:p w14:paraId="29B4EC1E">
                  <w:pPr>
                    <w:spacing w:line="340" w:lineRule="exact"/>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委托环卫部门清运</w:t>
                  </w:r>
                </w:p>
              </w:tc>
            </w:tr>
          </w:tbl>
          <w:p w14:paraId="72644380">
            <w:pPr>
              <w:adjustRightInd w:val="0"/>
              <w:snapToGrid w:val="0"/>
              <w:spacing w:before="120" w:beforeLines="50" w:line="360" w:lineRule="auto"/>
              <w:rPr>
                <w:rFonts w:hint="default" w:ascii="Times New Roman" w:hAnsi="Times New Roman" w:cs="Times New Roman"/>
                <w:b/>
                <w:color w:val="000000"/>
                <w:sz w:val="24"/>
                <w:highlight w:val="none"/>
              </w:rPr>
            </w:pPr>
            <w:r>
              <w:rPr>
                <w:rFonts w:hint="default" w:ascii="Times New Roman" w:hAnsi="Times New Roman" w:cs="Times New Roman"/>
                <w:b/>
                <w:bCs/>
                <w:color w:val="000000"/>
                <w:kern w:val="0"/>
                <w:sz w:val="24"/>
                <w:highlight w:val="none"/>
              </w:rPr>
              <w:t xml:space="preserve">4.4.2 </w:t>
            </w:r>
            <w:r>
              <w:rPr>
                <w:rFonts w:hint="default" w:ascii="Times New Roman" w:hAnsi="Times New Roman" w:cs="Times New Roman"/>
                <w:b/>
                <w:color w:val="000000"/>
                <w:sz w:val="24"/>
                <w:highlight w:val="none"/>
              </w:rPr>
              <w:t>运营期固体废物环境管理要求</w:t>
            </w:r>
          </w:p>
          <w:p w14:paraId="5C0605B4">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①一般固废贮存要求</w:t>
            </w:r>
          </w:p>
          <w:p w14:paraId="6E15B2FD">
            <w:pPr>
              <w:pStyle w:val="8"/>
              <w:kinsoku w:val="0"/>
              <w:overflowPunct w:val="0"/>
              <w:spacing w:before="0" w:after="0" w:line="360" w:lineRule="auto"/>
              <w:ind w:right="0" w:firstLine="484" w:firstLineChars="200"/>
              <w:rPr>
                <w:rFonts w:hint="default" w:ascii="Times New Roman" w:hAnsi="Times New Roman" w:cs="Times New Roman"/>
                <w:spacing w:val="-1"/>
                <w:sz w:val="24"/>
                <w:szCs w:val="24"/>
                <w:highlight w:val="none"/>
              </w:rPr>
            </w:pPr>
            <w:r>
              <w:rPr>
                <w:rFonts w:hint="default" w:ascii="Times New Roman" w:hAnsi="Times New Roman" w:cs="Times New Roman"/>
                <w:spacing w:val="1"/>
                <w:sz w:val="24"/>
                <w:szCs w:val="24"/>
                <w:highlight w:val="none"/>
              </w:rPr>
              <w:t>一般工业固废的暂存场所需按照《一般工业固体废物贮存和填埋污染控制标准》</w:t>
            </w:r>
            <w:r>
              <w:rPr>
                <w:rFonts w:hint="eastAsia" w:ascii="Times New Roman" w:hAnsi="Times New Roman" w:eastAsia="宋体" w:cs="Times New Roman"/>
                <w:spacing w:val="-1"/>
                <w:sz w:val="24"/>
                <w:szCs w:val="24"/>
                <w:highlight w:val="none"/>
                <w:lang w:eastAsia="zh-CN"/>
              </w:rPr>
              <w:t>（GB 18599-2020）</w:t>
            </w:r>
            <w:r>
              <w:rPr>
                <w:rFonts w:hint="default" w:ascii="Times New Roman" w:hAnsi="Times New Roman" w:cs="Times New Roman"/>
                <w:spacing w:val="-1"/>
                <w:sz w:val="24"/>
                <w:szCs w:val="24"/>
                <w:highlight w:val="none"/>
              </w:rPr>
              <w:t>，具体要求如下：</w:t>
            </w:r>
          </w:p>
          <w:p w14:paraId="518083A1">
            <w:pPr>
              <w:pStyle w:val="8"/>
              <w:kinsoku w:val="0"/>
              <w:overflowPunct w:val="0"/>
              <w:spacing w:before="0" w:after="0" w:line="360" w:lineRule="auto"/>
              <w:ind w:right="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A</w:t>
            </w:r>
            <w:r>
              <w:rPr>
                <w:rFonts w:hint="eastAsia"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rPr>
              <w:t>贮存</w:t>
            </w:r>
            <w:r>
              <w:rPr>
                <w:rFonts w:hint="default" w:ascii="Times New Roman" w:hAnsi="Times New Roman" w:cs="Times New Roman"/>
                <w:spacing w:val="-57"/>
                <w:sz w:val="24"/>
                <w:szCs w:val="24"/>
                <w:highlight w:val="none"/>
              </w:rPr>
              <w:t>、</w:t>
            </w:r>
            <w:r>
              <w:rPr>
                <w:rFonts w:hint="default" w:ascii="Times New Roman" w:hAnsi="Times New Roman" w:cs="Times New Roman"/>
                <w:sz w:val="24"/>
                <w:szCs w:val="24"/>
                <w:highlight w:val="none"/>
              </w:rPr>
              <w:t>处置场的建设类型</w:t>
            </w:r>
            <w:r>
              <w:rPr>
                <w:rFonts w:hint="default" w:ascii="Times New Roman" w:hAnsi="Times New Roman" w:cs="Times New Roman"/>
                <w:spacing w:val="-57"/>
                <w:sz w:val="24"/>
                <w:szCs w:val="24"/>
                <w:highlight w:val="none"/>
              </w:rPr>
              <w:t>，</w:t>
            </w:r>
            <w:r>
              <w:rPr>
                <w:rFonts w:hint="default" w:ascii="Times New Roman" w:hAnsi="Times New Roman" w:cs="Times New Roman"/>
                <w:sz w:val="24"/>
                <w:szCs w:val="24"/>
                <w:highlight w:val="none"/>
              </w:rPr>
              <w:t>须与将要堆放的一般工业固体废物的类别相一致。</w:t>
            </w:r>
          </w:p>
          <w:p w14:paraId="4A468ABC">
            <w:pPr>
              <w:pStyle w:val="8"/>
              <w:kinsoku w:val="0"/>
              <w:overflowPunct w:val="0"/>
              <w:spacing w:before="0" w:after="0" w:line="360" w:lineRule="auto"/>
              <w:ind w:right="0" w:firstLine="476" w:firstLineChars="200"/>
              <w:rPr>
                <w:rFonts w:hint="default" w:ascii="Times New Roman" w:hAnsi="Times New Roman" w:cs="Times New Roman"/>
                <w:spacing w:val="-1"/>
                <w:sz w:val="24"/>
                <w:szCs w:val="24"/>
                <w:highlight w:val="none"/>
              </w:rPr>
            </w:pPr>
            <w:r>
              <w:rPr>
                <w:rFonts w:hint="default" w:ascii="Times New Roman" w:hAnsi="Times New Roman" w:cs="Times New Roman"/>
                <w:spacing w:val="-1"/>
                <w:sz w:val="24"/>
                <w:szCs w:val="24"/>
                <w:highlight w:val="none"/>
              </w:rPr>
              <w:t>B</w:t>
            </w:r>
            <w:r>
              <w:rPr>
                <w:rFonts w:hint="eastAsia" w:ascii="Times New Roman" w:hAnsi="Times New Roman" w:eastAsia="宋体" w:cs="Times New Roman"/>
                <w:spacing w:val="-1"/>
                <w:sz w:val="24"/>
                <w:szCs w:val="24"/>
                <w:highlight w:val="none"/>
                <w:lang w:eastAsia="zh-CN"/>
              </w:rPr>
              <w:t>.</w:t>
            </w:r>
            <w:r>
              <w:rPr>
                <w:rFonts w:hint="default" w:ascii="Times New Roman" w:hAnsi="Times New Roman" w:cs="Times New Roman"/>
                <w:spacing w:val="-1"/>
                <w:sz w:val="24"/>
                <w:szCs w:val="24"/>
                <w:highlight w:val="none"/>
              </w:rPr>
              <w:t>贮存、处置场应采取防止粉尘污染的措施。</w:t>
            </w:r>
          </w:p>
          <w:p w14:paraId="0F452092">
            <w:pPr>
              <w:pStyle w:val="8"/>
              <w:kinsoku w:val="0"/>
              <w:overflowPunct w:val="0"/>
              <w:spacing w:before="0" w:after="0" w:line="360" w:lineRule="auto"/>
              <w:ind w:right="0" w:firstLine="484" w:firstLineChars="200"/>
              <w:rPr>
                <w:rFonts w:hint="default" w:ascii="Times New Roman" w:hAnsi="Times New Roman" w:cs="Times New Roman"/>
                <w:sz w:val="24"/>
                <w:szCs w:val="24"/>
                <w:highlight w:val="none"/>
              </w:rPr>
            </w:pPr>
            <w:r>
              <w:rPr>
                <w:rFonts w:hint="default" w:ascii="Times New Roman" w:hAnsi="Times New Roman" w:cs="Times New Roman"/>
                <w:spacing w:val="1"/>
                <w:sz w:val="24"/>
                <w:szCs w:val="24"/>
                <w:highlight w:val="none"/>
              </w:rPr>
              <w:t>C</w:t>
            </w:r>
            <w:r>
              <w:rPr>
                <w:rFonts w:hint="eastAsia" w:ascii="Times New Roman" w:hAnsi="Times New Roman" w:eastAsia="宋体" w:cs="Times New Roman"/>
                <w:spacing w:val="1"/>
                <w:sz w:val="24"/>
                <w:szCs w:val="24"/>
                <w:highlight w:val="none"/>
                <w:lang w:eastAsia="zh-CN"/>
              </w:rPr>
              <w:t>.</w:t>
            </w:r>
            <w:r>
              <w:rPr>
                <w:rFonts w:hint="default" w:ascii="Times New Roman" w:hAnsi="Times New Roman" w:cs="Times New Roman"/>
                <w:spacing w:val="1"/>
                <w:sz w:val="24"/>
                <w:szCs w:val="24"/>
                <w:highlight w:val="none"/>
              </w:rPr>
              <w:t>为防止雨水径流进入贮存、处置场内，避免渗滤液量增加和滑坡，贮存、处</w:t>
            </w:r>
            <w:r>
              <w:rPr>
                <w:rFonts w:hint="default" w:ascii="Times New Roman" w:hAnsi="Times New Roman" w:cs="Times New Roman"/>
                <w:sz w:val="24"/>
                <w:szCs w:val="24"/>
                <w:highlight w:val="none"/>
              </w:rPr>
              <w:t>置场周边应设置导流渠。</w:t>
            </w:r>
          </w:p>
          <w:p w14:paraId="69FF4572">
            <w:pPr>
              <w:pStyle w:val="8"/>
              <w:kinsoku w:val="0"/>
              <w:overflowPunct w:val="0"/>
              <w:spacing w:before="0" w:after="0" w:line="360" w:lineRule="auto"/>
              <w:ind w:right="0" w:firstLine="476" w:firstLineChars="200"/>
              <w:rPr>
                <w:rFonts w:hint="default" w:ascii="Times New Roman" w:hAnsi="Times New Roman" w:cs="Times New Roman"/>
                <w:spacing w:val="-1"/>
                <w:sz w:val="24"/>
                <w:szCs w:val="24"/>
                <w:highlight w:val="none"/>
              </w:rPr>
            </w:pPr>
            <w:r>
              <w:rPr>
                <w:rFonts w:hint="default" w:ascii="Times New Roman" w:hAnsi="Times New Roman" w:cs="Times New Roman"/>
                <w:spacing w:val="-1"/>
                <w:sz w:val="24"/>
                <w:szCs w:val="24"/>
                <w:highlight w:val="none"/>
              </w:rPr>
              <w:t>D</w:t>
            </w:r>
            <w:r>
              <w:rPr>
                <w:rFonts w:hint="eastAsia" w:ascii="Times New Roman" w:hAnsi="Times New Roman" w:eastAsia="宋体" w:cs="Times New Roman"/>
                <w:spacing w:val="-1"/>
                <w:sz w:val="24"/>
                <w:szCs w:val="24"/>
                <w:highlight w:val="none"/>
                <w:lang w:eastAsia="zh-CN"/>
              </w:rPr>
              <w:t>.</w:t>
            </w:r>
            <w:r>
              <w:rPr>
                <w:rFonts w:hint="default" w:ascii="Times New Roman" w:hAnsi="Times New Roman" w:cs="Times New Roman"/>
                <w:spacing w:val="-1"/>
                <w:sz w:val="24"/>
                <w:szCs w:val="24"/>
                <w:highlight w:val="none"/>
              </w:rPr>
              <w:t>应设计渗滤液集排水设施。</w:t>
            </w:r>
          </w:p>
          <w:p w14:paraId="01182067">
            <w:pPr>
              <w:spacing w:line="360" w:lineRule="auto"/>
              <w:ind w:firstLine="484" w:firstLineChars="200"/>
              <w:rPr>
                <w:rFonts w:hint="default" w:ascii="Times New Roman" w:hAnsi="Times New Roman" w:cs="Times New Roman"/>
                <w:sz w:val="24"/>
                <w:highlight w:val="none"/>
              </w:rPr>
            </w:pPr>
            <w:r>
              <w:rPr>
                <w:rFonts w:hint="default" w:ascii="Times New Roman" w:hAnsi="Times New Roman" w:cs="Times New Roman"/>
                <w:spacing w:val="1"/>
                <w:sz w:val="24"/>
                <w:highlight w:val="none"/>
              </w:rPr>
              <w:t>E</w:t>
            </w:r>
            <w:r>
              <w:rPr>
                <w:rFonts w:hint="eastAsia" w:ascii="Times New Roman" w:hAnsi="Times New Roman" w:eastAsia="宋体" w:cs="Times New Roman"/>
                <w:spacing w:val="1"/>
                <w:sz w:val="24"/>
                <w:highlight w:val="none"/>
                <w:lang w:eastAsia="zh-CN"/>
              </w:rPr>
              <w:t>.</w:t>
            </w:r>
            <w:r>
              <w:rPr>
                <w:rFonts w:hint="default" w:ascii="Times New Roman" w:hAnsi="Times New Roman" w:cs="Times New Roman"/>
                <w:spacing w:val="1"/>
                <w:sz w:val="24"/>
                <w:highlight w:val="none"/>
              </w:rPr>
              <w:t>为保障设施、设备正常运营，必要时应采取措施防止地基下沉，尤其是防止</w:t>
            </w:r>
            <w:r>
              <w:rPr>
                <w:rFonts w:hint="default" w:ascii="Times New Roman" w:hAnsi="Times New Roman" w:cs="Times New Roman"/>
                <w:sz w:val="24"/>
                <w:highlight w:val="none"/>
              </w:rPr>
              <w:t>不均匀或局部下沉。</w:t>
            </w:r>
          </w:p>
          <w:p w14:paraId="159FB7CF">
            <w:pPr>
              <w:spacing w:line="360" w:lineRule="auto"/>
              <w:ind w:firstLine="472" w:firstLineChars="200"/>
              <w:rPr>
                <w:rFonts w:hint="default" w:ascii="Times New Roman" w:hAnsi="Times New Roman" w:cs="Times New Roman"/>
                <w:sz w:val="24"/>
                <w:highlight w:val="none"/>
              </w:rPr>
            </w:pPr>
            <w:r>
              <w:rPr>
                <w:rFonts w:hint="default" w:ascii="Times New Roman" w:hAnsi="Times New Roman" w:cs="Times New Roman"/>
                <w:spacing w:val="-2"/>
                <w:sz w:val="24"/>
                <w:highlight w:val="none"/>
              </w:rPr>
              <w:t>通过采取以上措施，建设项目各项固体废物均能得到有效处置，处置方案可行，经</w:t>
            </w:r>
            <w:r>
              <w:rPr>
                <w:rFonts w:hint="default" w:ascii="Times New Roman" w:hAnsi="Times New Roman" w:cs="Times New Roman"/>
                <w:spacing w:val="-1"/>
                <w:sz w:val="24"/>
                <w:highlight w:val="none"/>
              </w:rPr>
              <w:t>过以上处置措施后可达到零排放，不会产生二次污染。</w:t>
            </w:r>
          </w:p>
          <w:p w14:paraId="2B5B3002">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②危险废物贮存管理要求</w:t>
            </w:r>
          </w:p>
          <w:p w14:paraId="644D775B">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建设单位应根据《危险废物贮存污染控制要求》</w:t>
            </w:r>
            <w:r>
              <w:rPr>
                <w:rFonts w:hint="eastAsia" w:ascii="Times New Roman" w:hAnsi="Times New Roman" w:eastAsia="宋体" w:cs="Times New Roman"/>
                <w:color w:val="000000"/>
                <w:sz w:val="24"/>
                <w:highlight w:val="none"/>
                <w:lang w:eastAsia="zh-CN"/>
              </w:rPr>
              <w:t>（GB 18597-2023）</w:t>
            </w:r>
            <w:r>
              <w:rPr>
                <w:rFonts w:hint="default" w:ascii="Times New Roman" w:hAnsi="Times New Roman" w:cs="Times New Roman"/>
                <w:color w:val="000000"/>
                <w:sz w:val="24"/>
                <w:highlight w:val="none"/>
              </w:rPr>
              <w:t>中要求设立危险废物临时贮存场所。采用专用容器分类贮存，并且具有隔离设施、报警装置和防风、防晒、防雨、防渗、防火措施，具体要求如下：</w:t>
            </w:r>
          </w:p>
          <w:p w14:paraId="0AE8D037">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A</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以固定容器密封盛装，并分类编号；</w:t>
            </w:r>
          </w:p>
          <w:p w14:paraId="20888A3A">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B</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贮存容器表面标示贮存日期、名称、</w:t>
            </w:r>
            <w:r>
              <w:rPr>
                <w:rFonts w:hint="eastAsia" w:ascii="Times New Roman" w:hAnsi="Times New Roman" w:eastAsia="宋体" w:cs="Times New Roman"/>
                <w:color w:val="000000"/>
                <w:sz w:val="24"/>
                <w:highlight w:val="none"/>
                <w:lang w:eastAsia="zh-CN"/>
              </w:rPr>
              <w:t>成分</w:t>
            </w:r>
            <w:r>
              <w:rPr>
                <w:rFonts w:hint="default" w:ascii="Times New Roman" w:hAnsi="Times New Roman" w:cs="Times New Roman"/>
                <w:color w:val="000000"/>
                <w:sz w:val="24"/>
                <w:highlight w:val="none"/>
              </w:rPr>
              <w:t>、数量及特性指标；</w:t>
            </w:r>
          </w:p>
          <w:p w14:paraId="312B880C">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C</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贮存容器采用聚乙烯材质，具有耐酸碱腐蚀；避免禁忌物混存；</w:t>
            </w:r>
          </w:p>
          <w:p w14:paraId="6E0EF7F1">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D</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贮存区地面铺设20cm厚水泥，</w:t>
            </w:r>
            <w:r>
              <w:rPr>
                <w:rFonts w:hint="eastAsia" w:ascii="Times New Roman" w:hAnsi="Times New Roman" w:eastAsia="宋体" w:cs="Times New Roman"/>
                <w:color w:val="000000"/>
                <w:sz w:val="24"/>
                <w:highlight w:val="none"/>
                <w:lang w:eastAsia="zh-CN"/>
              </w:rPr>
              <w:t>表面</w:t>
            </w:r>
            <w:r>
              <w:rPr>
                <w:rFonts w:hint="default" w:ascii="Times New Roman" w:hAnsi="Times New Roman" w:cs="Times New Roman"/>
                <w:color w:val="000000"/>
                <w:sz w:val="24"/>
                <w:highlight w:val="none"/>
              </w:rPr>
              <w:t>铺设三层环氧树脂防腐层，四周用围墙及屋顶隔离，防止雨水流入；</w:t>
            </w:r>
          </w:p>
          <w:p w14:paraId="4F4AD29C">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E</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贮存区设置门锁、平时均上锁，防止不相关人员进入；</w:t>
            </w:r>
          </w:p>
          <w:p w14:paraId="047E8078">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F</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区内设置紧急照明系统、报警系统及灭火器。</w:t>
            </w:r>
          </w:p>
          <w:p w14:paraId="3EE18213">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此外，危废间应采取密闭措施，同时设置废气收集措施，将各危废有可能逸散的有机废气引至</w:t>
            </w:r>
            <w:r>
              <w:rPr>
                <w:rFonts w:hint="eastAsia" w:ascii="Times New Roman" w:hAnsi="Times New Roman" w:eastAsia="宋体" w:cs="Times New Roman"/>
                <w:color w:val="000000"/>
                <w:sz w:val="24"/>
                <w:highlight w:val="none"/>
                <w:lang w:eastAsia="zh-CN"/>
              </w:rPr>
              <w:t>二级活性炭吸附装置</w:t>
            </w:r>
            <w:r>
              <w:rPr>
                <w:rFonts w:hint="default" w:ascii="Times New Roman" w:hAnsi="Times New Roman" w:cs="Times New Roman"/>
                <w:color w:val="000000"/>
                <w:sz w:val="24"/>
                <w:highlight w:val="none"/>
              </w:rPr>
              <w:t>净化处理。</w:t>
            </w:r>
          </w:p>
          <w:p w14:paraId="04132E40">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如此，项目危险废物严格按照国家规定的法律法规处理，危险固废可得到合理的贮存。</w:t>
            </w:r>
          </w:p>
          <w:p w14:paraId="6EE1F8A2">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危险废物的运输由有资质的单位运输，转运环节执行</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电子联单</w:t>
            </w:r>
            <w:r>
              <w:rPr>
                <w:rFonts w:hint="eastAsia" w:ascii="Times New Roman" w:hAnsi="Times New Roman" w:eastAsia="宋体" w:cs="Times New Roman"/>
                <w:color w:val="000000"/>
                <w:sz w:val="24"/>
                <w:highlight w:val="none"/>
                <w:lang w:eastAsia="zh-CN"/>
              </w:rPr>
              <w:t>”</w:t>
            </w:r>
            <w:r>
              <w:rPr>
                <w:rFonts w:hint="default" w:ascii="Times New Roman" w:hAnsi="Times New Roman" w:cs="Times New Roman"/>
                <w:color w:val="000000"/>
                <w:sz w:val="24"/>
                <w:highlight w:val="none"/>
              </w:rPr>
              <w:t>制度，保证运输安全，防止非法转移和非法处置，保证危险废物的安全监控，防止危险废物污染事故发生。</w:t>
            </w:r>
          </w:p>
          <w:p w14:paraId="6E0C3F35">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③生活垃圾</w:t>
            </w:r>
          </w:p>
          <w:p w14:paraId="76A351B3">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项目内职工产生的生活垃圾应采取分类收集，并委托环卫部门统一外运处置。综上</w:t>
            </w:r>
            <w:r>
              <w:rPr>
                <w:rFonts w:hint="default" w:ascii="Times New Roman" w:hAnsi="Times New Roman" w:eastAsia="宋体" w:cs="Times New Roman"/>
                <w:color w:val="000000"/>
                <w:sz w:val="24"/>
                <w:highlight w:val="none"/>
                <w:lang w:val="en-US" w:eastAsia="zh-CN"/>
              </w:rPr>
              <w:t>所述</w:t>
            </w:r>
            <w:r>
              <w:rPr>
                <w:rFonts w:hint="default" w:ascii="Times New Roman" w:hAnsi="Times New Roman" w:cs="Times New Roman"/>
                <w:color w:val="000000"/>
                <w:sz w:val="24"/>
                <w:highlight w:val="none"/>
              </w:rPr>
              <w:t>，本项目固体废物全部得以妥善安全处置，不会对环境造成不良影响。</w:t>
            </w:r>
          </w:p>
          <w:p w14:paraId="7E4A7926">
            <w:pPr>
              <w:spacing w:line="360" w:lineRule="auto"/>
              <w:rPr>
                <w:rFonts w:hint="default" w:ascii="Times New Roman" w:hAnsi="Times New Roman" w:cs="Times New Roman"/>
                <w:b/>
                <w:bCs/>
                <w:color w:val="000000"/>
                <w:sz w:val="28"/>
                <w:szCs w:val="22"/>
                <w:highlight w:val="none"/>
              </w:rPr>
            </w:pPr>
            <w:r>
              <w:rPr>
                <w:rFonts w:hint="default" w:ascii="Times New Roman" w:hAnsi="Times New Roman" w:eastAsia="宋体" w:cs="Times New Roman"/>
                <w:b/>
                <w:bCs/>
                <w:sz w:val="28"/>
                <w:szCs w:val="22"/>
                <w:highlight w:val="none"/>
                <w:lang w:val="en-US" w:eastAsia="zh-CN"/>
              </w:rPr>
              <w:t>4.5 地下水及土壤</w:t>
            </w:r>
            <w:r>
              <w:rPr>
                <w:rFonts w:hint="default" w:ascii="Times New Roman" w:hAnsi="Times New Roman" w:cs="Times New Roman"/>
                <w:b/>
                <w:bCs/>
                <w:color w:val="000000"/>
                <w:sz w:val="28"/>
                <w:szCs w:val="22"/>
                <w:highlight w:val="none"/>
              </w:rPr>
              <w:t>环境影响及保护措施</w:t>
            </w:r>
          </w:p>
          <w:p w14:paraId="5F266A1A">
            <w:pPr>
              <w:pStyle w:val="12"/>
              <w:pBdr>
                <w:bottom w:val="none" w:color="auto" w:sz="0" w:space="0"/>
              </w:pBdr>
              <w:spacing w:line="360" w:lineRule="auto"/>
              <w:jc w:val="left"/>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4.5.1 地下水及土壤环境影响分析</w:t>
            </w:r>
          </w:p>
          <w:p w14:paraId="4384B197">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kern w:val="0"/>
                <w:sz w:val="24"/>
                <w:highlight w:val="none"/>
              </w:rPr>
              <w:t>本项目排放的污染物不含重金属，不会产生重金属累积影响。本项目营运过程中对土壤及地下水的环境影响主要体现在：危废</w:t>
            </w:r>
            <w:r>
              <w:rPr>
                <w:rFonts w:hint="eastAsia" w:ascii="Times New Roman" w:hAnsi="Times New Roman" w:eastAsia="宋体" w:cs="Times New Roman"/>
                <w:kern w:val="0"/>
                <w:sz w:val="24"/>
                <w:highlight w:val="none"/>
                <w:lang w:val="en-US" w:eastAsia="zh-CN"/>
              </w:rPr>
              <w:t>暂存</w:t>
            </w:r>
            <w:r>
              <w:rPr>
                <w:rFonts w:hint="default" w:ascii="Times New Roman" w:hAnsi="Times New Roman" w:cs="Times New Roman"/>
                <w:kern w:val="0"/>
                <w:sz w:val="24"/>
                <w:highlight w:val="none"/>
              </w:rPr>
              <w:t>间</w:t>
            </w:r>
            <w:r>
              <w:rPr>
                <w:rFonts w:hint="eastAsia" w:ascii="Times New Roman" w:hAnsi="Times New Roman" w:eastAsia="宋体" w:cs="Times New Roman"/>
                <w:kern w:val="0"/>
                <w:sz w:val="24"/>
                <w:highlight w:val="none"/>
                <w:lang w:val="en-US" w:eastAsia="zh-CN"/>
              </w:rPr>
              <w:t>或专用化学品</w:t>
            </w:r>
            <w:r>
              <w:rPr>
                <w:rFonts w:hint="default" w:ascii="Times New Roman" w:hAnsi="Times New Roman" w:cs="Times New Roman"/>
                <w:kern w:val="0"/>
                <w:sz w:val="24"/>
                <w:highlight w:val="none"/>
              </w:rPr>
              <w:t>仓库发生泄漏，导致污水中有害成分渗入地下污染土壤和地下水。</w:t>
            </w:r>
          </w:p>
          <w:p w14:paraId="431504A0">
            <w:pPr>
              <w:pStyle w:val="12"/>
              <w:pBdr>
                <w:bottom w:val="none" w:color="auto" w:sz="0" w:space="0"/>
              </w:pBdr>
              <w:spacing w:line="360" w:lineRule="auto"/>
              <w:jc w:val="left"/>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4.5.2 地下水及土壤环境保护措施</w:t>
            </w:r>
          </w:p>
          <w:p w14:paraId="6F98677D">
            <w:pPr>
              <w:spacing w:line="360" w:lineRule="auto"/>
              <w:ind w:firstLine="480" w:firstLineChars="2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为防止事故情况下泄漏物质对项目所在地土壤和地下水产生污染，本评价提出分区防控要求，对危废间、危化品存放点采取重点防渗措施，生产车间、一般固废仓库采用一般防渗措施。绿化区、办公楼采用简单防渗措施。各区域防渗要求如下表4</w:t>
            </w:r>
            <w:r>
              <w:rPr>
                <w:rFonts w:hint="eastAsia" w:ascii="Times New Roman" w:hAnsi="Times New Roman" w:eastAsia="宋体" w:cs="Times New Roman"/>
                <w:kern w:val="0"/>
                <w:sz w:val="24"/>
                <w:highlight w:val="none"/>
                <w:lang w:val="en-US" w:eastAsia="zh-CN"/>
              </w:rPr>
              <w:t>.5-1</w:t>
            </w:r>
            <w:r>
              <w:rPr>
                <w:rFonts w:hint="default" w:ascii="Times New Roman" w:hAnsi="Times New Roman" w:cs="Times New Roman"/>
                <w:kern w:val="0"/>
                <w:sz w:val="24"/>
                <w:highlight w:val="none"/>
              </w:rPr>
              <w:t>。定期对设备、容器和管道进行检查和维护，防止有毒有害物质泄漏。另外，应严格用水和废水的管理，强调节约用水，防止污水</w:t>
            </w:r>
            <w:r>
              <w:rPr>
                <w:rFonts w:hint="eastAsia" w:ascii="Times New Roman" w:hAnsi="Times New Roman" w:eastAsia="宋体" w:cs="Times New Roman"/>
                <w:kern w:val="0"/>
                <w:sz w:val="24"/>
                <w:highlight w:val="none"/>
                <w:lang w:eastAsia="zh-CN"/>
              </w:rPr>
              <w:t>“</w:t>
            </w:r>
            <w:r>
              <w:rPr>
                <w:rFonts w:hint="default" w:ascii="Times New Roman" w:hAnsi="Times New Roman" w:cs="Times New Roman"/>
                <w:kern w:val="0"/>
                <w:sz w:val="24"/>
                <w:highlight w:val="none"/>
              </w:rPr>
              <w:t>跑、冒、滴、漏</w:t>
            </w:r>
            <w:r>
              <w:rPr>
                <w:rFonts w:hint="eastAsia" w:ascii="Times New Roman" w:hAnsi="Times New Roman" w:eastAsia="宋体" w:cs="Times New Roman"/>
                <w:kern w:val="0"/>
                <w:sz w:val="24"/>
                <w:highlight w:val="none"/>
                <w:lang w:eastAsia="zh-CN"/>
              </w:rPr>
              <w:t>”</w:t>
            </w:r>
            <w:r>
              <w:rPr>
                <w:rFonts w:hint="default" w:ascii="Times New Roman" w:hAnsi="Times New Roman" w:cs="Times New Roman"/>
                <w:kern w:val="0"/>
                <w:sz w:val="24"/>
                <w:highlight w:val="none"/>
              </w:rPr>
              <w:t>，确保污水处理系统的衔接。</w:t>
            </w:r>
          </w:p>
          <w:p w14:paraId="382E3D00">
            <w:pPr>
              <w:widowControl/>
              <w:spacing w:before="120" w:beforeLines="50" w:line="360" w:lineRule="auto"/>
              <w:jc w:val="center"/>
              <w:rPr>
                <w:rFonts w:hint="default" w:ascii="Times New Roman" w:hAnsi="Times New Roman" w:cs="Times New Roman"/>
                <w:b/>
                <w:kern w:val="0"/>
                <w:sz w:val="24"/>
                <w:highlight w:val="none"/>
              </w:rPr>
            </w:pPr>
            <w:r>
              <w:rPr>
                <w:rFonts w:hint="default" w:ascii="Times New Roman" w:hAnsi="Times New Roman" w:cs="Times New Roman"/>
                <w:b/>
                <w:bCs/>
                <w:color w:val="000000"/>
                <w:kern w:val="0"/>
                <w:sz w:val="24"/>
                <w:highlight w:val="none"/>
                <w:lang w:bidi="ar"/>
              </w:rPr>
              <w:t>表4</w:t>
            </w:r>
            <w:r>
              <w:rPr>
                <w:rFonts w:hint="eastAsia" w:ascii="Times New Roman" w:hAnsi="Times New Roman" w:eastAsia="宋体" w:cs="Times New Roman"/>
                <w:b/>
                <w:bCs/>
                <w:color w:val="000000"/>
                <w:kern w:val="0"/>
                <w:sz w:val="24"/>
                <w:highlight w:val="none"/>
                <w:lang w:val="en-US" w:eastAsia="zh-CN" w:bidi="ar"/>
              </w:rPr>
              <w:t>.5-1</w:t>
            </w:r>
            <w:r>
              <w:rPr>
                <w:rFonts w:hint="default" w:ascii="Times New Roman" w:hAnsi="Times New Roman" w:cs="Times New Roman"/>
                <w:b/>
                <w:bCs/>
                <w:color w:val="000000"/>
                <w:kern w:val="0"/>
                <w:sz w:val="24"/>
                <w:highlight w:val="none"/>
                <w:lang w:bidi="ar"/>
              </w:rPr>
              <w:t xml:space="preserve"> 污染区划分及防渗要求</w:t>
            </w:r>
          </w:p>
          <w:tbl>
            <w:tblPr>
              <w:tblStyle w:val="17"/>
              <w:tblW w:w="8278" w:type="dxa"/>
              <w:tblInd w:w="-114"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333"/>
              <w:gridCol w:w="2440"/>
              <w:gridCol w:w="4505"/>
            </w:tblGrid>
            <w:tr w14:paraId="48917F3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298" w:hRule="atLeast"/>
              </w:trPr>
              <w:tc>
                <w:tcPr>
                  <w:tcW w:w="1333" w:type="dxa"/>
                  <w:noWrap w:val="0"/>
                  <w:vAlign w:val="center"/>
                </w:tcPr>
                <w:p w14:paraId="2D9EBC18">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防治分区</w:t>
                  </w:r>
                </w:p>
              </w:tc>
              <w:tc>
                <w:tcPr>
                  <w:tcW w:w="2440" w:type="dxa"/>
                  <w:noWrap w:val="0"/>
                  <w:vAlign w:val="center"/>
                </w:tcPr>
                <w:p w14:paraId="3260D91C">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分区举例</w:t>
                  </w:r>
                </w:p>
              </w:tc>
              <w:tc>
                <w:tcPr>
                  <w:tcW w:w="4505" w:type="dxa"/>
                  <w:noWrap w:val="0"/>
                  <w:vAlign w:val="center"/>
                </w:tcPr>
                <w:p w14:paraId="6EF67022">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防渗要求</w:t>
                  </w:r>
                </w:p>
              </w:tc>
            </w:tr>
            <w:tr w14:paraId="2E06C8D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82" w:hRule="atLeast"/>
              </w:trPr>
              <w:tc>
                <w:tcPr>
                  <w:tcW w:w="1333" w:type="dxa"/>
                  <w:noWrap w:val="0"/>
                  <w:vAlign w:val="center"/>
                </w:tcPr>
                <w:p w14:paraId="754C23C5">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重点防渗区</w:t>
                  </w:r>
                </w:p>
              </w:tc>
              <w:tc>
                <w:tcPr>
                  <w:tcW w:w="2440" w:type="dxa"/>
                  <w:noWrap w:val="0"/>
                  <w:vAlign w:val="center"/>
                </w:tcPr>
                <w:p w14:paraId="5E1F904B">
                  <w:pPr>
                    <w:widowControl/>
                    <w:jc w:val="center"/>
                    <w:textAlignment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kern w:val="0"/>
                      <w:szCs w:val="21"/>
                      <w:highlight w:val="none"/>
                      <w:lang w:bidi="ar"/>
                    </w:rPr>
                    <w:t>危废</w:t>
                  </w:r>
                  <w:r>
                    <w:rPr>
                      <w:rFonts w:hint="default" w:ascii="Times New Roman" w:hAnsi="Times New Roman" w:eastAsia="宋体" w:cs="Times New Roman"/>
                      <w:color w:val="000000"/>
                      <w:kern w:val="0"/>
                      <w:szCs w:val="21"/>
                      <w:highlight w:val="none"/>
                      <w:lang w:val="en-US" w:eastAsia="zh-CN" w:bidi="ar"/>
                    </w:rPr>
                    <w:t>暂存</w:t>
                  </w:r>
                  <w:r>
                    <w:rPr>
                      <w:rFonts w:hint="default" w:ascii="Times New Roman" w:hAnsi="Times New Roman" w:cs="Times New Roman"/>
                      <w:color w:val="000000"/>
                      <w:kern w:val="0"/>
                      <w:szCs w:val="21"/>
                      <w:highlight w:val="none"/>
                      <w:lang w:bidi="ar"/>
                    </w:rPr>
                    <w:t>间、</w:t>
                  </w:r>
                  <w:r>
                    <w:rPr>
                      <w:rFonts w:hint="default" w:ascii="Times New Roman" w:hAnsi="Times New Roman" w:eastAsia="宋体" w:cs="Times New Roman"/>
                      <w:color w:val="000000"/>
                      <w:kern w:val="0"/>
                      <w:szCs w:val="21"/>
                      <w:highlight w:val="none"/>
                      <w:lang w:val="en-US" w:eastAsia="zh-CN" w:bidi="ar"/>
                    </w:rPr>
                    <w:t>专用化学品仓库</w:t>
                  </w:r>
                </w:p>
              </w:tc>
              <w:tc>
                <w:tcPr>
                  <w:tcW w:w="4505" w:type="dxa"/>
                  <w:noWrap w:val="0"/>
                  <w:vAlign w:val="center"/>
                </w:tcPr>
                <w:p w14:paraId="3C4CE733">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渗透系数≤10</w:t>
                  </w:r>
                  <w:r>
                    <w:rPr>
                      <w:rFonts w:hint="eastAsia" w:ascii="Times New Roman" w:hAnsi="Times New Roman" w:eastAsia="宋体" w:cs="Times New Roman"/>
                      <w:color w:val="000000"/>
                      <w:kern w:val="0"/>
                      <w:szCs w:val="21"/>
                      <w:highlight w:val="none"/>
                      <w:lang w:eastAsia="zh-CN" w:bidi="ar"/>
                    </w:rPr>
                    <w:t>—</w:t>
                  </w:r>
                  <w:r>
                    <w:rPr>
                      <w:rFonts w:hint="default" w:ascii="Times New Roman" w:hAnsi="Times New Roman" w:eastAsia="宋体" w:cs="Times New Roman"/>
                      <w:color w:val="000000"/>
                      <w:kern w:val="0"/>
                      <w:szCs w:val="21"/>
                      <w:highlight w:val="none"/>
                      <w:vertAlign w:val="superscript"/>
                      <w:lang w:val="en-US" w:eastAsia="zh-CN" w:bidi="ar"/>
                    </w:rPr>
                    <w:t>7</w:t>
                  </w:r>
                  <w:r>
                    <w:rPr>
                      <w:rFonts w:hint="default" w:ascii="Times New Roman" w:hAnsi="Times New Roman" w:cs="Times New Roman"/>
                      <w:color w:val="000000"/>
                      <w:kern w:val="0"/>
                      <w:szCs w:val="21"/>
                      <w:highlight w:val="none"/>
                      <w:lang w:bidi="ar"/>
                    </w:rPr>
                    <w:t>cm/s，等效黏土防渗层Mb≥</w:t>
                  </w:r>
                  <w:r>
                    <w:rPr>
                      <w:rFonts w:hint="default" w:ascii="Times New Roman" w:hAnsi="Times New Roman" w:eastAsia="宋体" w:cs="Times New Roman"/>
                      <w:color w:val="000000"/>
                      <w:kern w:val="0"/>
                      <w:szCs w:val="21"/>
                      <w:highlight w:val="none"/>
                      <w:lang w:val="en-US" w:eastAsia="zh-CN" w:bidi="ar"/>
                    </w:rPr>
                    <w:t>1.5</w:t>
                  </w:r>
                  <w:r>
                    <w:rPr>
                      <w:rFonts w:hint="default" w:ascii="Times New Roman" w:hAnsi="Times New Roman" w:cs="Times New Roman"/>
                      <w:color w:val="000000"/>
                      <w:kern w:val="0"/>
                      <w:szCs w:val="21"/>
                      <w:highlight w:val="none"/>
                      <w:lang w:bidi="ar"/>
                    </w:rPr>
                    <w:t>m</w:t>
                  </w:r>
                </w:p>
              </w:tc>
            </w:tr>
            <w:tr w14:paraId="07A9F22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803" w:hRule="atLeast"/>
              </w:trPr>
              <w:tc>
                <w:tcPr>
                  <w:tcW w:w="1333" w:type="dxa"/>
                  <w:noWrap w:val="0"/>
                  <w:vAlign w:val="center"/>
                </w:tcPr>
                <w:p w14:paraId="20C5C1DB">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一般防渗区</w:t>
                  </w:r>
                </w:p>
              </w:tc>
              <w:tc>
                <w:tcPr>
                  <w:tcW w:w="2440" w:type="dxa"/>
                  <w:noWrap w:val="0"/>
                  <w:vAlign w:val="center"/>
                </w:tcPr>
                <w:p w14:paraId="0449F118">
                  <w:pPr>
                    <w:widowControl/>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kern w:val="0"/>
                      <w:szCs w:val="21"/>
                      <w:highlight w:val="none"/>
                      <w:lang w:bidi="ar"/>
                    </w:rPr>
                    <w:t>生产车间、一般固废仓库</w:t>
                  </w:r>
                </w:p>
              </w:tc>
              <w:tc>
                <w:tcPr>
                  <w:tcW w:w="4505" w:type="dxa"/>
                  <w:noWrap w:val="0"/>
                  <w:vAlign w:val="center"/>
                </w:tcPr>
                <w:p w14:paraId="35810D21">
                  <w:pPr>
                    <w:widowControl/>
                    <w:jc w:val="center"/>
                    <w:textAlignment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kern w:val="0"/>
                      <w:szCs w:val="21"/>
                      <w:highlight w:val="none"/>
                      <w:lang w:val="en-US" w:eastAsia="zh-CN" w:bidi="ar"/>
                    </w:rPr>
                    <w:t>硬化地面</w:t>
                  </w:r>
                </w:p>
              </w:tc>
            </w:tr>
          </w:tbl>
          <w:p w14:paraId="6DFD7AEB">
            <w:pPr>
              <w:widowControl/>
              <w:spacing w:before="120" w:beforeLines="50" w:line="360" w:lineRule="auto"/>
              <w:jc w:val="left"/>
              <w:rPr>
                <w:rFonts w:hint="default" w:ascii="Times New Roman" w:hAnsi="Times New Roman" w:cs="Times New Roman"/>
                <w:b/>
                <w:bCs/>
                <w:kern w:val="0"/>
                <w:sz w:val="24"/>
                <w:szCs w:val="24"/>
                <w:highlight w:val="none"/>
              </w:rPr>
            </w:pPr>
            <w:r>
              <w:rPr>
                <w:rFonts w:hint="default" w:ascii="Times New Roman" w:hAnsi="Times New Roman" w:eastAsia="宋体" w:cs="Times New Roman"/>
                <w:b/>
                <w:bCs/>
                <w:color w:val="000000"/>
                <w:kern w:val="0"/>
                <w:sz w:val="28"/>
                <w:szCs w:val="28"/>
                <w:highlight w:val="none"/>
                <w:lang w:val="en-US" w:eastAsia="zh-CN" w:bidi="ar"/>
              </w:rPr>
              <w:t>4.6</w:t>
            </w:r>
            <w:r>
              <w:rPr>
                <w:rFonts w:hint="default" w:ascii="Times New Roman" w:hAnsi="Times New Roman" w:cs="Times New Roman"/>
                <w:b/>
                <w:bCs/>
                <w:color w:val="000000"/>
                <w:kern w:val="0"/>
                <w:sz w:val="28"/>
                <w:szCs w:val="28"/>
                <w:highlight w:val="none"/>
                <w:lang w:bidi="ar"/>
              </w:rPr>
              <w:t xml:space="preserve"> 生态影响和保护措施</w:t>
            </w:r>
          </w:p>
          <w:p w14:paraId="16D836D3">
            <w:pPr>
              <w:spacing w:line="360" w:lineRule="auto"/>
              <w:ind w:firstLine="480" w:firstLineChars="200"/>
              <w:rPr>
                <w:rFonts w:hint="eastAsia" w:cs="宋体"/>
                <w:kern w:val="0"/>
                <w:sz w:val="24"/>
                <w:highlight w:val="none"/>
              </w:rPr>
            </w:pPr>
            <w:r>
              <w:rPr>
                <w:rFonts w:hint="eastAsia" w:cs="宋体"/>
                <w:kern w:val="0"/>
                <w:sz w:val="24"/>
                <w:highlight w:val="none"/>
              </w:rPr>
              <w:t>本项目选址于工业区内，工业区外不新增用地，项目所在地以及周边无珍稀物种，项目所在地不含有生态环境保护目标。故不需要对生态环境影响进行分析。</w:t>
            </w:r>
          </w:p>
          <w:p w14:paraId="49772964">
            <w:pPr>
              <w:pStyle w:val="12"/>
              <w:pBdr>
                <w:bottom w:val="none" w:color="auto" w:sz="0" w:space="0"/>
              </w:pBdr>
              <w:spacing w:line="360" w:lineRule="auto"/>
              <w:jc w:val="left"/>
              <w:rPr>
                <w:rFonts w:hint="eastAsia" w:ascii="宋体" w:hAnsi="宋体" w:cs="宋体"/>
                <w:b/>
                <w:bCs/>
                <w:color w:val="000000"/>
                <w:sz w:val="28"/>
                <w:szCs w:val="28"/>
                <w:highlight w:val="none"/>
                <w:lang w:bidi="ar"/>
              </w:rPr>
            </w:pPr>
            <w:r>
              <w:rPr>
                <w:rFonts w:hint="eastAsia" w:ascii="Times New Roman" w:hAnsi="Times New Roman" w:eastAsia="宋体" w:cs="Times New Roman"/>
                <w:b/>
                <w:bCs/>
                <w:color w:val="000000"/>
                <w:sz w:val="28"/>
                <w:szCs w:val="28"/>
                <w:highlight w:val="none"/>
                <w:lang w:val="en-US" w:eastAsia="zh-CN" w:bidi="ar"/>
              </w:rPr>
              <w:t xml:space="preserve">4.7 </w:t>
            </w:r>
            <w:r>
              <w:rPr>
                <w:rFonts w:hint="eastAsia" w:ascii="宋体" w:hAnsi="宋体" w:cs="宋体"/>
                <w:b/>
                <w:bCs/>
                <w:color w:val="000000"/>
                <w:sz w:val="28"/>
                <w:szCs w:val="28"/>
                <w:highlight w:val="none"/>
                <w:lang w:bidi="ar"/>
              </w:rPr>
              <w:t>电磁辐射影响和保护措施</w:t>
            </w:r>
          </w:p>
          <w:p w14:paraId="43AEB9CA">
            <w:pPr>
              <w:adjustRightInd w:val="0"/>
              <w:spacing w:line="360" w:lineRule="auto"/>
              <w:ind w:firstLine="480" w:firstLineChars="200"/>
              <w:rPr>
                <w:rFonts w:hint="eastAsia"/>
                <w:highlight w:val="none"/>
              </w:rPr>
            </w:pPr>
            <w:r>
              <w:rPr>
                <w:rFonts w:hint="eastAsia" w:ascii="宋体" w:hAnsi="宋体" w:cs="宋体"/>
                <w:kern w:val="0"/>
                <w:sz w:val="24"/>
                <w:highlight w:val="none"/>
              </w:rPr>
              <w:t>本项目不涉及广播电台、差转台、电视塔台、卫星地球上行站、雷达等电磁辐射，不对电磁辐射影响进行评价。</w:t>
            </w:r>
          </w:p>
          <w:p w14:paraId="22B1AE12">
            <w:pPr>
              <w:pStyle w:val="12"/>
              <w:pBdr>
                <w:bottom w:val="none" w:color="auto" w:sz="0" w:space="0"/>
              </w:pBdr>
              <w:spacing w:line="360" w:lineRule="auto"/>
              <w:jc w:val="left"/>
              <w:rPr>
                <w:rFonts w:hint="default" w:ascii="Times New Roman" w:hAnsi="Times New Roman" w:eastAsia="宋体" w:cs="Times New Roman"/>
                <w:b/>
                <w:bCs/>
                <w:color w:val="000000"/>
                <w:sz w:val="28"/>
                <w:szCs w:val="28"/>
                <w:highlight w:val="none"/>
                <w:lang w:val="en-US" w:eastAsia="zh-CN" w:bidi="ar"/>
              </w:rPr>
            </w:pPr>
            <w:r>
              <w:rPr>
                <w:rFonts w:hint="default" w:ascii="Times New Roman" w:hAnsi="Times New Roman" w:eastAsia="宋体" w:cs="Times New Roman"/>
                <w:b/>
                <w:bCs/>
                <w:color w:val="000000"/>
                <w:sz w:val="28"/>
                <w:szCs w:val="28"/>
                <w:highlight w:val="none"/>
                <w:lang w:val="en-US" w:eastAsia="zh-CN" w:bidi="ar"/>
              </w:rPr>
              <w:t>4.8 环境风险</w:t>
            </w:r>
          </w:p>
          <w:p w14:paraId="30F98814">
            <w:pPr>
              <w:spacing w:line="360" w:lineRule="auto"/>
              <w:ind w:firstLine="480" w:firstLineChars="200"/>
              <w:rPr>
                <w:sz w:val="24"/>
                <w:highlight w:val="none"/>
              </w:rPr>
            </w:pPr>
            <w:r>
              <w:rPr>
                <w:sz w:val="24"/>
                <w:highlight w:val="none"/>
              </w:rPr>
              <w:t>风险防范意识是企业安全生产的前提和保障，根据国家环保局</w:t>
            </w:r>
            <w:r>
              <w:rPr>
                <w:rFonts w:hint="eastAsia" w:eastAsia="宋体"/>
                <w:sz w:val="24"/>
                <w:highlight w:val="none"/>
                <w:lang w:eastAsia="zh-CN"/>
              </w:rPr>
              <w:t>（</w:t>
            </w:r>
            <w:r>
              <w:rPr>
                <w:rFonts w:ascii="Times New Roman" w:hAnsi="Times New Roman" w:cs="Times New Roman"/>
                <w:sz w:val="24"/>
                <w:highlight w:val="none"/>
              </w:rPr>
              <w:t>90</w:t>
            </w:r>
            <w:r>
              <w:rPr>
                <w:rFonts w:hint="eastAsia" w:eastAsia="宋体"/>
                <w:sz w:val="24"/>
                <w:highlight w:val="none"/>
                <w:lang w:eastAsia="zh-CN"/>
              </w:rPr>
              <w:t>）</w:t>
            </w:r>
            <w:r>
              <w:rPr>
                <w:sz w:val="24"/>
                <w:highlight w:val="none"/>
              </w:rPr>
              <w:t>环管字</w:t>
            </w:r>
            <w:r>
              <w:rPr>
                <w:rFonts w:ascii="Times New Roman" w:hAnsi="Times New Roman" w:cs="Times New Roman"/>
                <w:sz w:val="24"/>
                <w:highlight w:val="none"/>
              </w:rPr>
              <w:t>057</w:t>
            </w:r>
            <w:r>
              <w:rPr>
                <w:sz w:val="24"/>
                <w:highlight w:val="none"/>
              </w:rPr>
              <w:t>号文</w:t>
            </w:r>
            <w:r>
              <w:rPr>
                <w:rFonts w:hint="eastAsia" w:eastAsia="宋体"/>
                <w:sz w:val="24"/>
                <w:highlight w:val="none"/>
                <w:lang w:eastAsia="zh-CN"/>
              </w:rPr>
              <w:t>“</w:t>
            </w:r>
            <w:r>
              <w:rPr>
                <w:sz w:val="24"/>
                <w:highlight w:val="none"/>
              </w:rPr>
              <w:t>关于对重大环境污染事故隐患进行风险评价的通知</w:t>
            </w:r>
            <w:r>
              <w:rPr>
                <w:rFonts w:hint="eastAsia" w:eastAsia="宋体"/>
                <w:sz w:val="24"/>
                <w:highlight w:val="none"/>
                <w:lang w:eastAsia="zh-CN"/>
              </w:rPr>
              <w:t>”</w:t>
            </w:r>
            <w:r>
              <w:rPr>
                <w:sz w:val="24"/>
                <w:highlight w:val="none"/>
              </w:rPr>
              <w:t>精神以及环发</w:t>
            </w:r>
            <w:r>
              <w:rPr>
                <w:rFonts w:hint="eastAsia" w:eastAsia="宋体"/>
                <w:sz w:val="24"/>
                <w:highlight w:val="none"/>
                <w:lang w:eastAsia="zh-CN"/>
              </w:rPr>
              <w:t>〔</w:t>
            </w:r>
            <w:r>
              <w:rPr>
                <w:rFonts w:ascii="Times New Roman" w:hAnsi="Times New Roman" w:cs="Times New Roman"/>
                <w:sz w:val="24"/>
                <w:highlight w:val="none"/>
              </w:rPr>
              <w:t>2012</w:t>
            </w:r>
            <w:r>
              <w:rPr>
                <w:rFonts w:hint="eastAsia" w:eastAsia="宋体"/>
                <w:sz w:val="24"/>
                <w:highlight w:val="none"/>
                <w:lang w:eastAsia="zh-CN"/>
              </w:rPr>
              <w:t>〕</w:t>
            </w:r>
            <w:r>
              <w:rPr>
                <w:rFonts w:ascii="Times New Roman" w:hAnsi="Times New Roman" w:cs="Times New Roman"/>
                <w:sz w:val="24"/>
                <w:highlight w:val="none"/>
              </w:rPr>
              <w:t>77</w:t>
            </w:r>
            <w:r>
              <w:rPr>
                <w:sz w:val="24"/>
                <w:highlight w:val="none"/>
              </w:rPr>
              <w:t>号《关于进一步加强环境影响评价管理防范环境风险的通知》，本次评价采取分析潜在的危险源和可能造成的污染事故及环境影响进行分析、评价，并提出防止事故措施，以达到降低风险，减少危害的目的。</w:t>
            </w:r>
          </w:p>
          <w:p w14:paraId="4C47BC3F">
            <w:pPr>
              <w:spacing w:line="360" w:lineRule="auto"/>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val="en-US" w:eastAsia="zh-CN"/>
              </w:rPr>
              <w:t>4.8.1 环境风险</w:t>
            </w:r>
            <w:r>
              <w:rPr>
                <w:rFonts w:hint="eastAsia" w:ascii="Times New Roman" w:hAnsi="Times New Roman" w:cs="Times New Roman"/>
                <w:b/>
                <w:bCs/>
                <w:sz w:val="24"/>
                <w:highlight w:val="none"/>
                <w:lang w:val="en-US" w:eastAsia="zh-CN"/>
              </w:rPr>
              <w:t>来源</w:t>
            </w:r>
            <w:r>
              <w:rPr>
                <w:rFonts w:hint="default" w:ascii="Times New Roman" w:hAnsi="Times New Roman" w:cs="Times New Roman"/>
                <w:b/>
                <w:bCs/>
                <w:sz w:val="24"/>
                <w:highlight w:val="none"/>
                <w:lang w:val="en-US" w:eastAsia="zh-CN"/>
              </w:rPr>
              <w:t>识别</w:t>
            </w:r>
          </w:p>
          <w:p w14:paraId="4938E1E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（1）产品风险识别</w:t>
            </w:r>
          </w:p>
          <w:p w14:paraId="6246ED4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本项目的最终产品主要为充气床、箱包和露营垫，在其贮存、销售和使用过程中不存在环境风险。</w:t>
            </w:r>
          </w:p>
          <w:p w14:paraId="34E7D08C">
            <w:pPr>
              <w:keepNext w:val="0"/>
              <w:keepLines w:val="0"/>
              <w:pageBreakBefore w:val="0"/>
              <w:widowControl/>
              <w:numPr>
                <w:ilvl w:val="0"/>
                <w:numId w:val="5"/>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主要原材料风险识别</w:t>
            </w:r>
          </w:p>
          <w:p w14:paraId="3C7B35F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根据工程工艺分析章节的主要原辅材料及能源消耗一览表得出，本项目使用的原料主要为PVC膜、TPU膜、TPU贴布、海绵、植绒料、气嘴、拉手，其他辅料为</w:t>
            </w:r>
            <w:r>
              <w:rPr>
                <w:rFonts w:hint="eastAsia" w:ascii="Times New Roman" w:hAnsi="Times New Roman" w:cs="Times New Roman"/>
                <w:color w:val="auto"/>
                <w:sz w:val="24"/>
                <w:highlight w:val="none"/>
                <w:lang w:val="en-US" w:eastAsia="zh-CN"/>
              </w:rPr>
              <w:t>溶剂油墨、</w:t>
            </w:r>
            <w:r>
              <w:rPr>
                <w:rFonts w:hint="default" w:ascii="Times New Roman" w:hAnsi="Times New Roman" w:cs="Times New Roman"/>
                <w:color w:val="auto"/>
                <w:sz w:val="24"/>
                <w:highlight w:val="none"/>
                <w:lang w:val="en-US" w:eastAsia="zh-CN"/>
              </w:rPr>
              <w:t>UV</w:t>
            </w:r>
            <w:r>
              <w:rPr>
                <w:rFonts w:hint="eastAsia" w:ascii="Times New Roman" w:hAnsi="Times New Roman" w:cs="Times New Roman"/>
                <w:color w:val="auto"/>
                <w:sz w:val="24"/>
                <w:highlight w:val="none"/>
                <w:lang w:val="en-US" w:eastAsia="zh-CN"/>
              </w:rPr>
              <w:t>油</w:t>
            </w:r>
            <w:r>
              <w:rPr>
                <w:rFonts w:hint="default" w:ascii="Times New Roman" w:hAnsi="Times New Roman" w:cs="Times New Roman"/>
                <w:color w:val="auto"/>
                <w:sz w:val="24"/>
                <w:highlight w:val="none"/>
                <w:lang w:val="en-US" w:eastAsia="zh-CN"/>
              </w:rPr>
              <w:t>墨</w:t>
            </w:r>
            <w:r>
              <w:rPr>
                <w:rFonts w:hint="eastAsia" w:ascii="Times New Roman" w:hAnsi="Times New Roman" w:cs="Times New Roman"/>
                <w:color w:val="auto"/>
                <w:sz w:val="24"/>
                <w:highlight w:val="none"/>
                <w:lang w:val="en-US" w:eastAsia="zh-CN"/>
              </w:rPr>
              <w:t>和清洗剂</w:t>
            </w:r>
            <w:r>
              <w:rPr>
                <w:rFonts w:hint="default" w:ascii="Times New Roman" w:hAnsi="Times New Roman" w:cs="Times New Roman"/>
                <w:color w:val="auto"/>
                <w:sz w:val="24"/>
                <w:highlight w:val="none"/>
                <w:lang w:val="en-US" w:eastAsia="zh-CN"/>
              </w:rPr>
              <w:t>，根据《建设项目环境风险评价技术导则》（</w:t>
            </w:r>
            <w:r>
              <w:rPr>
                <w:rFonts w:hint="eastAsia" w:ascii="Times New Roman" w:hAnsi="Times New Roman" w:cs="Times New Roman"/>
                <w:color w:val="auto"/>
                <w:sz w:val="24"/>
                <w:highlight w:val="none"/>
                <w:lang w:val="en-US" w:eastAsia="zh-CN"/>
              </w:rPr>
              <w:t>HJ 169-2018</w:t>
            </w:r>
            <w:r>
              <w:rPr>
                <w:rFonts w:hint="default" w:ascii="Times New Roman" w:hAnsi="Times New Roman" w:cs="Times New Roman"/>
                <w:color w:val="auto"/>
                <w:sz w:val="24"/>
                <w:highlight w:val="none"/>
                <w:lang w:val="en-US" w:eastAsia="zh-CN"/>
              </w:rPr>
              <w:t>）和《企业突发环境事件风险分级方法》（</w:t>
            </w:r>
            <w:r>
              <w:rPr>
                <w:rFonts w:hint="eastAsia" w:ascii="Times New Roman" w:hAnsi="Times New Roman" w:cs="Times New Roman"/>
                <w:color w:val="auto"/>
                <w:sz w:val="24"/>
                <w:highlight w:val="none"/>
                <w:lang w:val="en-US" w:eastAsia="zh-CN"/>
              </w:rPr>
              <w:t>HJ 941-2018</w:t>
            </w:r>
            <w:r>
              <w:rPr>
                <w:rFonts w:hint="default" w:ascii="Times New Roman" w:hAnsi="Times New Roman" w:cs="Times New Roman"/>
                <w:color w:val="auto"/>
                <w:sz w:val="24"/>
                <w:highlight w:val="none"/>
                <w:lang w:val="en-US" w:eastAsia="zh-CN"/>
              </w:rPr>
              <w:t>）中所列的有毒物质、易燃物质和爆炸性物质。</w:t>
            </w:r>
            <w:r>
              <w:rPr>
                <w:rFonts w:hint="eastAsia" w:ascii="Times New Roman" w:hAnsi="Times New Roman" w:cs="Times New Roman"/>
                <w:color w:val="auto"/>
                <w:sz w:val="24"/>
                <w:highlight w:val="none"/>
                <w:lang w:val="en-US" w:eastAsia="zh-CN"/>
              </w:rPr>
              <w:t>唯有溶剂油墨中所含，UV油墨中所含苯氧基己基丙烯酸酯，清洗剂中所含乙酸甲酯、乙酸乙酯，属于危险物质</w:t>
            </w:r>
            <w:r>
              <w:rPr>
                <w:rFonts w:hint="default" w:ascii="Times New Roman" w:hAnsi="Times New Roman" w:cs="Times New Roman"/>
                <w:color w:val="auto"/>
                <w:sz w:val="24"/>
                <w:highlight w:val="none"/>
                <w:lang w:val="en-US" w:eastAsia="zh-CN"/>
              </w:rPr>
              <w:t>。</w:t>
            </w:r>
          </w:p>
          <w:p w14:paraId="1EBC062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对照《危险化学品重大危险源辨识》（</w:t>
            </w:r>
            <w:r>
              <w:rPr>
                <w:rFonts w:hint="eastAsia" w:ascii="Times New Roman" w:hAnsi="Times New Roman" w:cs="Times New Roman"/>
                <w:color w:val="auto"/>
                <w:sz w:val="24"/>
                <w:highlight w:val="none"/>
                <w:lang w:val="en-US" w:eastAsia="zh-CN"/>
              </w:rPr>
              <w:t>GB 18218-2018</w:t>
            </w:r>
            <w:r>
              <w:rPr>
                <w:rFonts w:hint="default" w:ascii="Times New Roman" w:hAnsi="Times New Roman" w:cs="Times New Roman"/>
                <w:color w:val="auto"/>
                <w:sz w:val="24"/>
                <w:highlight w:val="none"/>
                <w:lang w:val="en-US" w:eastAsia="zh-CN"/>
              </w:rPr>
              <w:t>）和《建设项目环境风险评价技术导则》（</w:t>
            </w:r>
            <w:r>
              <w:rPr>
                <w:rFonts w:hint="eastAsia" w:ascii="Times New Roman" w:hAnsi="Times New Roman" w:cs="Times New Roman"/>
                <w:color w:val="auto"/>
                <w:sz w:val="24"/>
                <w:highlight w:val="none"/>
                <w:lang w:val="en-US" w:eastAsia="zh-CN"/>
              </w:rPr>
              <w:t>HJ 169-2018</w:t>
            </w:r>
            <w:r>
              <w:rPr>
                <w:rFonts w:hint="default" w:ascii="Times New Roman" w:hAnsi="Times New Roman" w:cs="Times New Roman"/>
                <w:color w:val="auto"/>
                <w:sz w:val="24"/>
                <w:highlight w:val="none"/>
                <w:lang w:val="en-US" w:eastAsia="zh-CN"/>
              </w:rPr>
              <w:t>）附录B危险物及临界量情况，危险物质</w:t>
            </w:r>
            <w:r>
              <w:rPr>
                <w:rFonts w:hint="eastAsia" w:ascii="Times New Roman" w:hAnsi="Times New Roman" w:cs="Times New Roman"/>
                <w:color w:val="auto"/>
                <w:sz w:val="24"/>
                <w:highlight w:val="none"/>
                <w:lang w:val="en-US" w:eastAsia="zh-CN"/>
              </w:rPr>
              <w:t>暂</w:t>
            </w:r>
            <w:r>
              <w:rPr>
                <w:rFonts w:hint="default" w:ascii="Times New Roman" w:hAnsi="Times New Roman" w:cs="Times New Roman"/>
                <w:color w:val="auto"/>
                <w:sz w:val="24"/>
                <w:highlight w:val="none"/>
                <w:lang w:val="en-US" w:eastAsia="zh-CN"/>
              </w:rPr>
              <w:t>存情况见下表4</w:t>
            </w:r>
            <w:r>
              <w:rPr>
                <w:rFonts w:hint="eastAsia" w:ascii="Times New Roman" w:hAnsi="Times New Roman" w:cs="Times New Roman"/>
                <w:color w:val="auto"/>
                <w:sz w:val="24"/>
                <w:highlight w:val="none"/>
                <w:lang w:val="en-US" w:eastAsia="zh-CN"/>
              </w:rPr>
              <w:t>.8-1</w:t>
            </w:r>
            <w:r>
              <w:rPr>
                <w:rFonts w:hint="default" w:ascii="Times New Roman" w:hAnsi="Times New Roman" w:cs="Times New Roman"/>
                <w:color w:val="auto"/>
                <w:sz w:val="24"/>
                <w:highlight w:val="none"/>
                <w:lang w:val="en-US" w:eastAsia="zh-CN"/>
              </w:rPr>
              <w:t>。</w:t>
            </w:r>
          </w:p>
          <w:p w14:paraId="5D1B5B04">
            <w:pPr>
              <w:widowControl/>
              <w:spacing w:before="120" w:beforeLines="50" w:line="360" w:lineRule="auto"/>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表4</w:t>
            </w:r>
            <w:r>
              <w:rPr>
                <w:rFonts w:hint="eastAsia" w:ascii="Times New Roman" w:hAnsi="Times New Roman" w:eastAsia="宋体" w:cs="Times New Roman"/>
                <w:b/>
                <w:bCs/>
                <w:color w:val="auto"/>
                <w:kern w:val="0"/>
                <w:sz w:val="24"/>
                <w:highlight w:val="none"/>
                <w:lang w:val="en-US" w:eastAsia="zh-CN" w:bidi="ar"/>
              </w:rPr>
              <w:t>.8</w:t>
            </w:r>
            <w:r>
              <w:rPr>
                <w:rFonts w:hint="default" w:ascii="Times New Roman" w:hAnsi="Times New Roman" w:eastAsia="宋体" w:cs="Times New Roman"/>
                <w:b/>
                <w:bCs/>
                <w:color w:val="auto"/>
                <w:kern w:val="0"/>
                <w:sz w:val="24"/>
                <w:highlight w:val="none"/>
                <w:lang w:val="en-US" w:eastAsia="zh-CN" w:bidi="ar"/>
              </w:rPr>
              <w:t>-</w:t>
            </w:r>
            <w:r>
              <w:rPr>
                <w:rFonts w:hint="eastAsia"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bidi="ar"/>
              </w:rPr>
              <w:t xml:space="preserve"> 项目涉及危险物质</w:t>
            </w:r>
            <w:r>
              <w:rPr>
                <w:rFonts w:hint="eastAsia" w:ascii="Times New Roman" w:hAnsi="Times New Roman" w:eastAsia="宋体" w:cs="Times New Roman"/>
                <w:b/>
                <w:bCs/>
                <w:color w:val="auto"/>
                <w:kern w:val="0"/>
                <w:sz w:val="24"/>
                <w:highlight w:val="none"/>
                <w:lang w:val="en-US" w:eastAsia="zh-CN" w:bidi="ar"/>
              </w:rPr>
              <w:t>暂</w:t>
            </w:r>
            <w:r>
              <w:rPr>
                <w:rFonts w:hint="default" w:ascii="Times New Roman" w:hAnsi="Times New Roman" w:eastAsia="宋体" w:cs="Times New Roman"/>
                <w:b/>
                <w:bCs/>
                <w:color w:val="auto"/>
                <w:kern w:val="0"/>
                <w:sz w:val="24"/>
                <w:highlight w:val="none"/>
                <w:lang w:bidi="ar"/>
              </w:rPr>
              <w:t>存位置及储存量一览表</w:t>
            </w:r>
          </w:p>
          <w:tbl>
            <w:tblPr>
              <w:tblStyle w:val="17"/>
              <w:tblW w:w="8301" w:type="dxa"/>
              <w:tblInd w:w="-11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049"/>
              <w:gridCol w:w="1111"/>
              <w:gridCol w:w="1129"/>
              <w:gridCol w:w="971"/>
              <w:gridCol w:w="971"/>
              <w:gridCol w:w="1054"/>
              <w:gridCol w:w="1125"/>
            </w:tblGrid>
            <w:tr w14:paraId="257CD3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36" w:type="pct"/>
                  <w:vMerge w:val="restart"/>
                  <w:shd w:val="clear" w:color="auto" w:fill="auto"/>
                  <w:vAlign w:val="center"/>
                </w:tcPr>
                <w:p w14:paraId="7D7F879C">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原材料名称</w:t>
                  </w:r>
                </w:p>
              </w:tc>
              <w:tc>
                <w:tcPr>
                  <w:tcW w:w="631" w:type="pct"/>
                  <w:vMerge w:val="restart"/>
                  <w:shd w:val="clear" w:color="auto" w:fill="auto"/>
                  <w:vAlign w:val="center"/>
                </w:tcPr>
                <w:p w14:paraId="20825FBD">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物质名称</w:t>
                  </w:r>
                </w:p>
              </w:tc>
              <w:tc>
                <w:tcPr>
                  <w:tcW w:w="669" w:type="pct"/>
                  <w:vMerge w:val="restart"/>
                  <w:shd w:val="clear" w:color="auto" w:fill="auto"/>
                  <w:vAlign w:val="center"/>
                </w:tcPr>
                <w:p w14:paraId="4A2FE058">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危险物质含量</w:t>
                  </w:r>
                </w:p>
              </w:tc>
              <w:tc>
                <w:tcPr>
                  <w:tcW w:w="680" w:type="pct"/>
                  <w:vMerge w:val="restart"/>
                  <w:shd w:val="clear" w:color="auto" w:fill="auto"/>
                  <w:vAlign w:val="center"/>
                </w:tcPr>
                <w:p w14:paraId="449F9713">
                  <w:pPr>
                    <w:pStyle w:val="36"/>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暂</w:t>
                  </w:r>
                  <w:r>
                    <w:rPr>
                      <w:rFonts w:hint="default" w:ascii="Times New Roman" w:hAnsi="Times New Roman" w:cs="Times New Roman"/>
                      <w:color w:val="auto"/>
                      <w:highlight w:val="none"/>
                    </w:rPr>
                    <w:t>存位置</w:t>
                  </w:r>
                </w:p>
              </w:tc>
              <w:tc>
                <w:tcPr>
                  <w:tcW w:w="1169" w:type="pct"/>
                  <w:gridSpan w:val="2"/>
                  <w:shd w:val="clear" w:color="auto" w:fill="auto"/>
                  <w:vAlign w:val="center"/>
                </w:tcPr>
                <w:p w14:paraId="39737D55">
                  <w:pPr>
                    <w:pStyle w:val="36"/>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最大储存量</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t</w:t>
                  </w:r>
                  <w:r>
                    <w:rPr>
                      <w:rFonts w:hint="eastAsia" w:ascii="Times New Roman" w:hAnsi="Times New Roman" w:eastAsia="宋体" w:cs="Times New Roman"/>
                      <w:color w:val="auto"/>
                      <w:highlight w:val="none"/>
                      <w:lang w:eastAsia="zh-CN"/>
                    </w:rPr>
                    <w:t>）</w:t>
                  </w:r>
                </w:p>
              </w:tc>
              <w:tc>
                <w:tcPr>
                  <w:tcW w:w="634" w:type="pct"/>
                  <w:vMerge w:val="restart"/>
                  <w:shd w:val="clear" w:color="auto" w:fill="auto"/>
                  <w:vAlign w:val="center"/>
                </w:tcPr>
                <w:p w14:paraId="1E9C0005">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包装规格</w:t>
                  </w:r>
                </w:p>
              </w:tc>
              <w:tc>
                <w:tcPr>
                  <w:tcW w:w="677" w:type="pct"/>
                  <w:vMerge w:val="restart"/>
                  <w:shd w:val="clear" w:color="auto" w:fill="auto"/>
                  <w:vAlign w:val="center"/>
                </w:tcPr>
                <w:p w14:paraId="61B986FF">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运输方式</w:t>
                  </w:r>
                </w:p>
              </w:tc>
            </w:tr>
            <w:tr w14:paraId="6CCE6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36" w:type="pct"/>
                  <w:vMerge w:val="continue"/>
                  <w:shd w:val="clear" w:color="auto" w:fill="auto"/>
                  <w:vAlign w:val="center"/>
                </w:tcPr>
                <w:p w14:paraId="507C77BD">
                  <w:pPr>
                    <w:pStyle w:val="36"/>
                    <w:rPr>
                      <w:rFonts w:hint="eastAsia" w:ascii="Times New Roman" w:hAnsi="Times New Roman" w:eastAsia="宋体" w:cs="Times New Roman"/>
                      <w:color w:val="auto"/>
                      <w:highlight w:val="none"/>
                      <w:lang w:val="en-US" w:eastAsia="zh-CN"/>
                    </w:rPr>
                  </w:pPr>
                </w:p>
              </w:tc>
              <w:tc>
                <w:tcPr>
                  <w:tcW w:w="631" w:type="pct"/>
                  <w:vMerge w:val="continue"/>
                  <w:shd w:val="clear" w:color="auto" w:fill="auto"/>
                  <w:vAlign w:val="center"/>
                </w:tcPr>
                <w:p w14:paraId="54320ABB">
                  <w:pPr>
                    <w:pStyle w:val="36"/>
                    <w:rPr>
                      <w:rFonts w:hint="eastAsia" w:ascii="Times New Roman" w:hAnsi="Times New Roman" w:eastAsia="宋体" w:cs="Times New Roman"/>
                      <w:color w:val="auto"/>
                      <w:highlight w:val="none"/>
                      <w:lang w:val="en-US" w:eastAsia="zh-CN"/>
                    </w:rPr>
                  </w:pPr>
                </w:p>
              </w:tc>
              <w:tc>
                <w:tcPr>
                  <w:tcW w:w="669" w:type="pct"/>
                  <w:vMerge w:val="continue"/>
                  <w:shd w:val="clear" w:color="auto" w:fill="auto"/>
                  <w:vAlign w:val="center"/>
                </w:tcPr>
                <w:p w14:paraId="0354A129">
                  <w:pPr>
                    <w:pStyle w:val="36"/>
                    <w:rPr>
                      <w:rFonts w:hint="eastAsia" w:ascii="Times New Roman" w:hAnsi="Times New Roman" w:eastAsia="宋体" w:cs="Times New Roman"/>
                      <w:color w:val="auto"/>
                      <w:highlight w:val="none"/>
                      <w:lang w:val="en-US" w:eastAsia="zh-CN"/>
                    </w:rPr>
                  </w:pPr>
                </w:p>
              </w:tc>
              <w:tc>
                <w:tcPr>
                  <w:tcW w:w="680" w:type="pct"/>
                  <w:vMerge w:val="continue"/>
                  <w:shd w:val="clear" w:color="auto" w:fill="auto"/>
                  <w:vAlign w:val="center"/>
                </w:tcPr>
                <w:p w14:paraId="7A6ED1CE">
                  <w:pPr>
                    <w:pStyle w:val="36"/>
                    <w:rPr>
                      <w:rFonts w:hint="eastAsia" w:ascii="Times New Roman" w:hAnsi="Times New Roman" w:eastAsia="宋体" w:cs="Times New Roman"/>
                      <w:color w:val="auto"/>
                      <w:highlight w:val="none"/>
                      <w:lang w:val="en-US" w:eastAsia="zh-CN"/>
                    </w:rPr>
                  </w:pPr>
                </w:p>
              </w:tc>
              <w:tc>
                <w:tcPr>
                  <w:tcW w:w="584" w:type="pct"/>
                  <w:shd w:val="clear" w:color="auto" w:fill="auto"/>
                  <w:vAlign w:val="center"/>
                </w:tcPr>
                <w:p w14:paraId="480F4E58">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原材料</w:t>
                  </w:r>
                </w:p>
              </w:tc>
              <w:tc>
                <w:tcPr>
                  <w:tcW w:w="584" w:type="pct"/>
                  <w:shd w:val="clear" w:color="auto" w:fill="auto"/>
                  <w:vAlign w:val="center"/>
                </w:tcPr>
                <w:p w14:paraId="471359BA">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物质</w:t>
                  </w:r>
                </w:p>
              </w:tc>
              <w:tc>
                <w:tcPr>
                  <w:tcW w:w="634" w:type="pct"/>
                  <w:vMerge w:val="continue"/>
                  <w:shd w:val="clear" w:color="auto" w:fill="auto"/>
                  <w:vAlign w:val="center"/>
                </w:tcPr>
                <w:p w14:paraId="08C180CD">
                  <w:pPr>
                    <w:pStyle w:val="36"/>
                    <w:rPr>
                      <w:rFonts w:hint="eastAsia" w:ascii="Times New Roman" w:hAnsi="Times New Roman" w:eastAsia="宋体" w:cs="Times New Roman"/>
                      <w:color w:val="auto"/>
                      <w:highlight w:val="none"/>
                      <w:lang w:val="en-US" w:eastAsia="zh-CN"/>
                    </w:rPr>
                  </w:pPr>
                </w:p>
              </w:tc>
              <w:tc>
                <w:tcPr>
                  <w:tcW w:w="677" w:type="pct"/>
                  <w:vMerge w:val="continue"/>
                  <w:shd w:val="clear" w:color="auto" w:fill="auto"/>
                  <w:vAlign w:val="center"/>
                </w:tcPr>
                <w:p w14:paraId="0026A634">
                  <w:pPr>
                    <w:pStyle w:val="36"/>
                    <w:rPr>
                      <w:rFonts w:hint="eastAsia" w:ascii="Times New Roman" w:hAnsi="Times New Roman" w:eastAsia="宋体" w:cs="Times New Roman"/>
                      <w:color w:val="auto"/>
                      <w:highlight w:val="none"/>
                      <w:lang w:val="en-US" w:eastAsia="zh-CN"/>
                    </w:rPr>
                  </w:pPr>
                </w:p>
              </w:tc>
            </w:tr>
            <w:tr w14:paraId="03A8B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36" w:type="pct"/>
                  <w:vMerge w:val="restart"/>
                  <w:shd w:val="clear" w:color="auto" w:fill="auto"/>
                  <w:vAlign w:val="center"/>
                </w:tcPr>
                <w:p w14:paraId="6D6EA416">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溶剂油墨</w:t>
                  </w:r>
                </w:p>
              </w:tc>
              <w:tc>
                <w:tcPr>
                  <w:tcW w:w="631" w:type="pct"/>
                  <w:shd w:val="clear" w:color="auto" w:fill="auto"/>
                  <w:vAlign w:val="center"/>
                </w:tcPr>
                <w:p w14:paraId="033ECEAB">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丁酮</w:t>
                  </w:r>
                </w:p>
              </w:tc>
              <w:tc>
                <w:tcPr>
                  <w:tcW w:w="669" w:type="pct"/>
                  <w:shd w:val="clear" w:color="auto" w:fill="auto"/>
                  <w:vAlign w:val="center"/>
                </w:tcPr>
                <w:p w14:paraId="4D2803BA">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680" w:type="pct"/>
                  <w:vMerge w:val="restart"/>
                  <w:shd w:val="clear" w:color="auto" w:fill="auto"/>
                  <w:vAlign w:val="center"/>
                </w:tcPr>
                <w:p w14:paraId="3A8D3BB3">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专用化学品仓库</w:t>
                  </w:r>
                </w:p>
              </w:tc>
              <w:tc>
                <w:tcPr>
                  <w:tcW w:w="584" w:type="pct"/>
                  <w:shd w:val="clear" w:color="auto" w:fill="auto"/>
                  <w:vAlign w:val="center"/>
                </w:tcPr>
                <w:p w14:paraId="0A9C7283">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w:t>
                  </w:r>
                </w:p>
              </w:tc>
              <w:tc>
                <w:tcPr>
                  <w:tcW w:w="584" w:type="pct"/>
                  <w:shd w:val="clear" w:color="auto" w:fill="auto"/>
                  <w:vAlign w:val="center"/>
                </w:tcPr>
                <w:p w14:paraId="2471B7BF">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0.045</w:t>
                  </w:r>
                </w:p>
              </w:tc>
              <w:tc>
                <w:tcPr>
                  <w:tcW w:w="634" w:type="pct"/>
                  <w:vMerge w:val="restart"/>
                  <w:shd w:val="clear" w:color="auto" w:fill="auto"/>
                  <w:vAlign w:val="center"/>
                </w:tcPr>
                <w:p w14:paraId="44EA4F0F">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桶装</w:t>
                  </w:r>
                  <w:r>
                    <w:rPr>
                      <w:rFonts w:hint="eastAsia" w:ascii="Times New Roman" w:hAnsi="Times New Roman" w:eastAsia="宋体" w:cs="Times New Roman"/>
                      <w:color w:val="auto"/>
                      <w:highlight w:val="none"/>
                      <w:lang w:val="en-US" w:eastAsia="zh-CN"/>
                    </w:rPr>
                    <w:t>盖封</w:t>
                  </w:r>
                </w:p>
              </w:tc>
              <w:tc>
                <w:tcPr>
                  <w:tcW w:w="677" w:type="pct"/>
                  <w:vMerge w:val="restart"/>
                  <w:shd w:val="clear" w:color="auto" w:fill="auto"/>
                  <w:vAlign w:val="center"/>
                </w:tcPr>
                <w:p w14:paraId="1EE72F14">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汽车运输</w:t>
                  </w:r>
                </w:p>
              </w:tc>
            </w:tr>
            <w:tr w14:paraId="27CCA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36" w:type="pct"/>
                  <w:vMerge w:val="continue"/>
                  <w:shd w:val="clear" w:color="auto" w:fill="auto"/>
                  <w:vAlign w:val="center"/>
                </w:tcPr>
                <w:p w14:paraId="65EE88D1">
                  <w:pPr>
                    <w:pStyle w:val="36"/>
                    <w:rPr>
                      <w:rFonts w:hint="default" w:ascii="Times New Roman" w:hAnsi="Times New Roman" w:eastAsia="宋体" w:cs="Times New Roman"/>
                      <w:color w:val="auto"/>
                      <w:highlight w:val="none"/>
                      <w:lang w:val="en-US" w:eastAsia="zh-CN"/>
                    </w:rPr>
                  </w:pPr>
                </w:p>
              </w:tc>
              <w:tc>
                <w:tcPr>
                  <w:tcW w:w="631" w:type="pct"/>
                  <w:shd w:val="clear" w:color="auto" w:fill="auto"/>
                  <w:vAlign w:val="center"/>
                </w:tcPr>
                <w:p w14:paraId="3CC5A2C1">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环己酮</w:t>
                  </w:r>
                </w:p>
              </w:tc>
              <w:tc>
                <w:tcPr>
                  <w:tcW w:w="669" w:type="pct"/>
                  <w:shd w:val="clear" w:color="auto" w:fill="auto"/>
                  <w:vAlign w:val="center"/>
                </w:tcPr>
                <w:p w14:paraId="4373D4E4">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80" w:type="pct"/>
                  <w:vMerge w:val="continue"/>
                  <w:shd w:val="clear" w:color="auto" w:fill="auto"/>
                  <w:vAlign w:val="center"/>
                </w:tcPr>
                <w:p w14:paraId="38054027">
                  <w:pPr>
                    <w:pStyle w:val="36"/>
                    <w:rPr>
                      <w:rFonts w:hint="default" w:ascii="Times New Roman" w:hAnsi="Times New Roman" w:eastAsia="宋体" w:cs="Times New Roman"/>
                      <w:color w:val="auto"/>
                      <w:highlight w:val="none"/>
                      <w:lang w:val="en-US" w:eastAsia="zh-CN"/>
                    </w:rPr>
                  </w:pPr>
                </w:p>
              </w:tc>
              <w:tc>
                <w:tcPr>
                  <w:tcW w:w="584" w:type="pct"/>
                  <w:shd w:val="clear" w:color="auto" w:fill="auto"/>
                  <w:vAlign w:val="center"/>
                </w:tcPr>
                <w:p w14:paraId="3EDE8900">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w:t>
                  </w:r>
                </w:p>
              </w:tc>
              <w:tc>
                <w:tcPr>
                  <w:tcW w:w="584" w:type="pct"/>
                  <w:shd w:val="clear" w:color="auto" w:fill="auto"/>
                  <w:vAlign w:val="center"/>
                </w:tcPr>
                <w:p w14:paraId="4D7A28E6">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0.015</w:t>
                  </w:r>
                </w:p>
              </w:tc>
              <w:tc>
                <w:tcPr>
                  <w:tcW w:w="634" w:type="pct"/>
                  <w:vMerge w:val="continue"/>
                  <w:shd w:val="clear" w:color="auto" w:fill="auto"/>
                  <w:vAlign w:val="center"/>
                </w:tcPr>
                <w:p w14:paraId="41EFA530">
                  <w:pPr>
                    <w:pStyle w:val="36"/>
                    <w:rPr>
                      <w:rFonts w:hint="default" w:ascii="Times New Roman" w:hAnsi="Times New Roman" w:cs="Times New Roman"/>
                      <w:color w:val="auto"/>
                      <w:highlight w:val="none"/>
                    </w:rPr>
                  </w:pPr>
                </w:p>
              </w:tc>
              <w:tc>
                <w:tcPr>
                  <w:tcW w:w="677" w:type="pct"/>
                  <w:vMerge w:val="continue"/>
                  <w:shd w:val="clear" w:color="auto" w:fill="auto"/>
                  <w:vAlign w:val="center"/>
                </w:tcPr>
                <w:p w14:paraId="2C68EA97">
                  <w:pPr>
                    <w:pStyle w:val="36"/>
                    <w:rPr>
                      <w:rFonts w:hint="default" w:ascii="Times New Roman" w:hAnsi="Times New Roman" w:cs="Times New Roman"/>
                      <w:color w:val="auto"/>
                      <w:highlight w:val="none"/>
                    </w:rPr>
                  </w:pPr>
                </w:p>
              </w:tc>
            </w:tr>
            <w:tr w14:paraId="1E3AD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36" w:type="pct"/>
                  <w:shd w:val="clear" w:color="auto" w:fill="auto"/>
                  <w:vAlign w:val="center"/>
                </w:tcPr>
                <w:p w14:paraId="4BA4EED0">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UV油墨</w:t>
                  </w:r>
                </w:p>
              </w:tc>
              <w:tc>
                <w:tcPr>
                  <w:tcW w:w="631" w:type="pct"/>
                  <w:shd w:val="clear" w:color="auto" w:fill="auto"/>
                  <w:vAlign w:val="center"/>
                </w:tcPr>
                <w:p w14:paraId="7E7EA59B">
                  <w:pPr>
                    <w:pStyle w:val="36"/>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苯氧基己基丙烯酸酯</w:t>
                  </w:r>
                </w:p>
              </w:tc>
              <w:tc>
                <w:tcPr>
                  <w:tcW w:w="669" w:type="pct"/>
                  <w:shd w:val="clear" w:color="auto" w:fill="auto"/>
                  <w:vAlign w:val="center"/>
                </w:tcPr>
                <w:p w14:paraId="48218B07">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p>
              </w:tc>
              <w:tc>
                <w:tcPr>
                  <w:tcW w:w="680" w:type="pct"/>
                  <w:vMerge w:val="continue"/>
                  <w:shd w:val="clear" w:color="auto" w:fill="auto"/>
                  <w:vAlign w:val="center"/>
                </w:tcPr>
                <w:p w14:paraId="582E3278">
                  <w:pPr>
                    <w:pStyle w:val="36"/>
                    <w:rPr>
                      <w:rFonts w:hint="default" w:ascii="Times New Roman" w:hAnsi="Times New Roman" w:eastAsia="宋体" w:cs="Times New Roman"/>
                      <w:color w:val="auto"/>
                      <w:highlight w:val="none"/>
                      <w:lang w:val="en-US" w:eastAsia="zh-CN"/>
                    </w:rPr>
                  </w:pPr>
                </w:p>
              </w:tc>
              <w:tc>
                <w:tcPr>
                  <w:tcW w:w="584" w:type="pct"/>
                  <w:shd w:val="clear" w:color="auto" w:fill="auto"/>
                  <w:vAlign w:val="center"/>
                </w:tcPr>
                <w:p w14:paraId="1B7E06CE">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w:t>
                  </w:r>
                </w:p>
              </w:tc>
              <w:tc>
                <w:tcPr>
                  <w:tcW w:w="584" w:type="pct"/>
                  <w:shd w:val="clear" w:color="auto" w:fill="auto"/>
                  <w:vAlign w:val="center"/>
                </w:tcPr>
                <w:p w14:paraId="48D35E2A">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0.016</w:t>
                  </w:r>
                </w:p>
              </w:tc>
              <w:tc>
                <w:tcPr>
                  <w:tcW w:w="634" w:type="pct"/>
                  <w:shd w:val="clear" w:color="auto" w:fill="auto"/>
                  <w:vAlign w:val="center"/>
                </w:tcPr>
                <w:p w14:paraId="565B82BA">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桶装</w:t>
                  </w:r>
                  <w:r>
                    <w:rPr>
                      <w:rFonts w:hint="eastAsia" w:ascii="Times New Roman" w:hAnsi="Times New Roman" w:eastAsia="宋体" w:cs="Times New Roman"/>
                      <w:color w:val="auto"/>
                      <w:highlight w:val="none"/>
                      <w:lang w:val="en-US" w:eastAsia="zh-CN"/>
                    </w:rPr>
                    <w:t>盖封</w:t>
                  </w:r>
                </w:p>
              </w:tc>
              <w:tc>
                <w:tcPr>
                  <w:tcW w:w="677" w:type="pct"/>
                  <w:vMerge w:val="continue"/>
                  <w:shd w:val="clear" w:color="auto" w:fill="auto"/>
                  <w:vAlign w:val="center"/>
                </w:tcPr>
                <w:p w14:paraId="558302C5">
                  <w:pPr>
                    <w:pStyle w:val="36"/>
                    <w:rPr>
                      <w:rFonts w:hint="default" w:ascii="Times New Roman" w:hAnsi="Times New Roman" w:cs="Times New Roman"/>
                      <w:color w:val="auto"/>
                      <w:highlight w:val="none"/>
                    </w:rPr>
                  </w:pPr>
                </w:p>
              </w:tc>
            </w:tr>
            <w:tr w14:paraId="61061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36" w:type="pct"/>
                  <w:vMerge w:val="restart"/>
                  <w:shd w:val="clear" w:color="auto" w:fill="auto"/>
                  <w:vAlign w:val="center"/>
                </w:tcPr>
                <w:p w14:paraId="50BD4BA7">
                  <w:pPr>
                    <w:pStyle w:val="36"/>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清洗剂</w:t>
                  </w:r>
                </w:p>
              </w:tc>
              <w:tc>
                <w:tcPr>
                  <w:tcW w:w="631" w:type="pct"/>
                  <w:shd w:val="clear" w:color="auto" w:fill="auto"/>
                  <w:vAlign w:val="center"/>
                </w:tcPr>
                <w:p w14:paraId="1D14FA21">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乙酸甲酯</w:t>
                  </w:r>
                </w:p>
              </w:tc>
              <w:tc>
                <w:tcPr>
                  <w:tcW w:w="669" w:type="pct"/>
                  <w:shd w:val="clear" w:color="auto" w:fill="auto"/>
                  <w:vAlign w:val="center"/>
                </w:tcPr>
                <w:p w14:paraId="298CBE87">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680" w:type="pct"/>
                  <w:vMerge w:val="continue"/>
                  <w:shd w:val="clear" w:color="auto" w:fill="auto"/>
                  <w:vAlign w:val="center"/>
                </w:tcPr>
                <w:p w14:paraId="659C7273">
                  <w:pPr>
                    <w:pStyle w:val="36"/>
                    <w:rPr>
                      <w:rFonts w:hint="default" w:ascii="Times New Roman" w:hAnsi="Times New Roman" w:eastAsia="宋体" w:cs="Times New Roman"/>
                      <w:color w:val="auto"/>
                      <w:highlight w:val="none"/>
                      <w:lang w:val="en-US" w:eastAsia="zh-CN"/>
                    </w:rPr>
                  </w:pPr>
                </w:p>
              </w:tc>
              <w:tc>
                <w:tcPr>
                  <w:tcW w:w="584" w:type="pct"/>
                  <w:shd w:val="clear" w:color="auto" w:fill="auto"/>
                  <w:vAlign w:val="center"/>
                </w:tcPr>
                <w:p w14:paraId="7D6E0F49">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w:t>
                  </w:r>
                </w:p>
              </w:tc>
              <w:tc>
                <w:tcPr>
                  <w:tcW w:w="584" w:type="pct"/>
                  <w:shd w:val="clear" w:color="auto" w:fill="auto"/>
                  <w:vAlign w:val="center"/>
                </w:tcPr>
                <w:p w14:paraId="41EACDDF">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0.05</w:t>
                  </w:r>
                </w:p>
              </w:tc>
              <w:tc>
                <w:tcPr>
                  <w:tcW w:w="634" w:type="pct"/>
                  <w:vMerge w:val="restart"/>
                  <w:shd w:val="clear" w:color="auto" w:fill="auto"/>
                  <w:vAlign w:val="center"/>
                </w:tcPr>
                <w:p w14:paraId="54D1EA93">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桶装</w:t>
                  </w:r>
                  <w:r>
                    <w:rPr>
                      <w:rFonts w:hint="eastAsia" w:ascii="Times New Roman" w:hAnsi="Times New Roman" w:eastAsia="宋体" w:cs="Times New Roman"/>
                      <w:color w:val="auto"/>
                      <w:highlight w:val="none"/>
                      <w:lang w:val="en-US" w:eastAsia="zh-CN"/>
                    </w:rPr>
                    <w:t>盖封</w:t>
                  </w:r>
                </w:p>
              </w:tc>
              <w:tc>
                <w:tcPr>
                  <w:tcW w:w="677" w:type="pct"/>
                  <w:vMerge w:val="continue"/>
                  <w:shd w:val="clear" w:color="auto" w:fill="auto"/>
                  <w:vAlign w:val="center"/>
                </w:tcPr>
                <w:p w14:paraId="00777A4B">
                  <w:pPr>
                    <w:pStyle w:val="36"/>
                    <w:rPr>
                      <w:rFonts w:hint="default" w:ascii="Times New Roman" w:hAnsi="Times New Roman" w:cs="Times New Roman"/>
                      <w:color w:val="auto"/>
                      <w:highlight w:val="none"/>
                    </w:rPr>
                  </w:pPr>
                </w:p>
              </w:tc>
            </w:tr>
            <w:tr w14:paraId="6BF9F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36" w:type="pct"/>
                  <w:vMerge w:val="continue"/>
                  <w:shd w:val="clear" w:color="auto" w:fill="auto"/>
                  <w:vAlign w:val="center"/>
                </w:tcPr>
                <w:p w14:paraId="0E892E16">
                  <w:pPr>
                    <w:pStyle w:val="36"/>
                    <w:rPr>
                      <w:color w:val="auto"/>
                      <w:highlight w:val="none"/>
                    </w:rPr>
                  </w:pPr>
                </w:p>
              </w:tc>
              <w:tc>
                <w:tcPr>
                  <w:tcW w:w="631" w:type="pct"/>
                  <w:shd w:val="clear" w:color="auto" w:fill="auto"/>
                  <w:vAlign w:val="center"/>
                </w:tcPr>
                <w:p w14:paraId="60585CFA">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乙酸乙酯</w:t>
                  </w:r>
                </w:p>
              </w:tc>
              <w:tc>
                <w:tcPr>
                  <w:tcW w:w="669" w:type="pct"/>
                  <w:shd w:val="clear" w:color="auto" w:fill="auto"/>
                  <w:vAlign w:val="center"/>
                </w:tcPr>
                <w:p w14:paraId="2A28BA7D">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680" w:type="pct"/>
                  <w:vMerge w:val="continue"/>
                  <w:shd w:val="clear" w:color="auto" w:fill="auto"/>
                  <w:vAlign w:val="center"/>
                </w:tcPr>
                <w:p w14:paraId="2E80ADCE">
                  <w:pPr>
                    <w:pStyle w:val="36"/>
                    <w:rPr>
                      <w:rFonts w:hint="eastAsia" w:ascii="Times New Roman" w:hAnsi="Times New Roman" w:eastAsia="宋体" w:cs="Times New Roman"/>
                      <w:color w:val="auto"/>
                      <w:highlight w:val="none"/>
                      <w:lang w:val="en-US" w:eastAsia="zh-CN"/>
                    </w:rPr>
                  </w:pPr>
                </w:p>
              </w:tc>
              <w:tc>
                <w:tcPr>
                  <w:tcW w:w="584" w:type="pct"/>
                  <w:shd w:val="clear" w:color="auto" w:fill="auto"/>
                  <w:vAlign w:val="center"/>
                </w:tcPr>
                <w:p w14:paraId="77528F0E">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w:t>
                  </w:r>
                </w:p>
              </w:tc>
              <w:tc>
                <w:tcPr>
                  <w:tcW w:w="584" w:type="pct"/>
                  <w:shd w:val="clear" w:color="auto" w:fill="auto"/>
                  <w:vAlign w:val="center"/>
                </w:tcPr>
                <w:p w14:paraId="686E1536">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0.025</w:t>
                  </w:r>
                </w:p>
              </w:tc>
              <w:tc>
                <w:tcPr>
                  <w:tcW w:w="634" w:type="pct"/>
                  <w:vMerge w:val="continue"/>
                  <w:shd w:val="clear" w:color="auto" w:fill="auto"/>
                  <w:vAlign w:val="center"/>
                </w:tcPr>
                <w:p w14:paraId="42AB8C12">
                  <w:pPr>
                    <w:pStyle w:val="36"/>
                    <w:rPr>
                      <w:rFonts w:hint="eastAsia" w:ascii="Times New Roman" w:hAnsi="Times New Roman" w:eastAsia="宋体" w:cs="Times New Roman"/>
                      <w:color w:val="auto"/>
                      <w:highlight w:val="none"/>
                      <w:lang w:val="en-US" w:eastAsia="zh-CN"/>
                    </w:rPr>
                  </w:pPr>
                </w:p>
              </w:tc>
              <w:tc>
                <w:tcPr>
                  <w:tcW w:w="677" w:type="pct"/>
                  <w:vMerge w:val="continue"/>
                  <w:shd w:val="clear" w:color="auto" w:fill="auto"/>
                  <w:vAlign w:val="center"/>
                </w:tcPr>
                <w:p w14:paraId="0454CE64">
                  <w:pPr>
                    <w:pStyle w:val="36"/>
                    <w:rPr>
                      <w:rFonts w:hint="eastAsia" w:ascii="Times New Roman" w:hAnsi="Times New Roman" w:eastAsia="宋体" w:cs="Times New Roman"/>
                      <w:color w:val="auto"/>
                      <w:highlight w:val="none"/>
                      <w:lang w:val="en-US" w:eastAsia="zh-CN"/>
                    </w:rPr>
                  </w:pPr>
                </w:p>
              </w:tc>
            </w:tr>
            <w:tr w14:paraId="60665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36" w:type="pct"/>
                  <w:shd w:val="clear" w:color="auto" w:fill="auto"/>
                  <w:vAlign w:val="center"/>
                </w:tcPr>
                <w:p w14:paraId="59C4D9DF">
                  <w:pPr>
                    <w:pStyle w:val="3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p>
              </w:tc>
              <w:tc>
                <w:tcPr>
                  <w:tcW w:w="631" w:type="pct"/>
                  <w:shd w:val="clear" w:color="auto" w:fill="auto"/>
                  <w:vAlign w:val="center"/>
                </w:tcPr>
                <w:p w14:paraId="6FE714C1">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废活性炭</w:t>
                  </w:r>
                </w:p>
              </w:tc>
              <w:tc>
                <w:tcPr>
                  <w:tcW w:w="669" w:type="pct"/>
                  <w:shd w:val="clear" w:color="auto" w:fill="auto"/>
                  <w:vAlign w:val="center"/>
                </w:tcPr>
                <w:p w14:paraId="702D505F">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680" w:type="pct"/>
                  <w:shd w:val="clear" w:color="auto" w:fill="auto"/>
                  <w:vAlign w:val="center"/>
                </w:tcPr>
                <w:p w14:paraId="0F141AAA">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危废暂存间</w:t>
                  </w:r>
                </w:p>
              </w:tc>
              <w:tc>
                <w:tcPr>
                  <w:tcW w:w="584" w:type="pct"/>
                  <w:shd w:val="clear" w:color="auto" w:fill="auto"/>
                  <w:vAlign w:val="center"/>
                </w:tcPr>
                <w:p w14:paraId="114FAAA0">
                  <w:pPr>
                    <w:pStyle w:val="36"/>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584" w:type="pct"/>
                  <w:shd w:val="clear" w:color="auto" w:fill="auto"/>
                  <w:vAlign w:val="center"/>
                </w:tcPr>
                <w:p w14:paraId="38517ED0">
                  <w:pPr>
                    <w:pStyle w:val="36"/>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1.18</w:t>
                  </w:r>
                </w:p>
              </w:tc>
              <w:tc>
                <w:tcPr>
                  <w:tcW w:w="634" w:type="pct"/>
                  <w:shd w:val="clear" w:color="auto" w:fill="auto"/>
                  <w:vAlign w:val="center"/>
                </w:tcPr>
                <w:p w14:paraId="297ABE5E">
                  <w:pPr>
                    <w:pStyle w:val="36"/>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桶装</w:t>
                  </w:r>
                  <w:r>
                    <w:rPr>
                      <w:rFonts w:hint="eastAsia" w:ascii="Times New Roman" w:hAnsi="Times New Roman" w:eastAsia="宋体" w:cs="Times New Roman"/>
                      <w:color w:val="auto"/>
                      <w:highlight w:val="none"/>
                      <w:lang w:val="en-US" w:eastAsia="zh-CN"/>
                    </w:rPr>
                    <w:t>盖封</w:t>
                  </w:r>
                </w:p>
              </w:tc>
              <w:tc>
                <w:tcPr>
                  <w:tcW w:w="677" w:type="pct"/>
                  <w:vMerge w:val="continue"/>
                  <w:shd w:val="clear" w:color="auto" w:fill="auto"/>
                  <w:vAlign w:val="center"/>
                </w:tcPr>
                <w:p w14:paraId="64E5D697">
                  <w:pPr>
                    <w:pStyle w:val="36"/>
                    <w:rPr>
                      <w:rFonts w:hint="default" w:ascii="Times New Roman" w:hAnsi="Times New Roman" w:cs="Times New Roman"/>
                      <w:color w:val="auto"/>
                      <w:highlight w:val="none"/>
                    </w:rPr>
                  </w:pPr>
                </w:p>
              </w:tc>
            </w:tr>
          </w:tbl>
          <w:p w14:paraId="20BAB614">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w:t>
            </w:r>
            <w:r>
              <w:rPr>
                <w:rFonts w:hint="eastAsia" w:ascii="Times New Roman" w:hAnsi="Times New Roman" w:eastAsia="宋体" w:cs="Times New Roman"/>
                <w:color w:val="auto"/>
                <w:sz w:val="24"/>
                <w:highlight w:val="none"/>
                <w:lang w:eastAsia="zh-CN"/>
              </w:rPr>
              <w:t>（HJ 169-2018）</w:t>
            </w:r>
            <w:r>
              <w:rPr>
                <w:rFonts w:hint="default" w:ascii="Times New Roman" w:hAnsi="Times New Roman" w:cs="Times New Roman"/>
                <w:color w:val="auto"/>
                <w:sz w:val="24"/>
                <w:highlight w:val="none"/>
              </w:rPr>
              <w:t>附录B确定的危险物质与临界量比Q：</w:t>
            </w:r>
          </w:p>
          <w:p w14:paraId="35E7EBF1">
            <w:pPr>
              <w:spacing w:line="360" w:lineRule="auto"/>
              <w:ind w:firstLine="2280" w:firstLineChars="9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n</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n</w:t>
            </w:r>
          </w:p>
          <w:p w14:paraId="1D534BC1">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eastAsia" w:ascii="Times New Roman" w:hAnsi="Times New Roman" w:eastAsia="宋体" w:cs="Times New Roman"/>
                <w:color w:val="auto"/>
                <w:sz w:val="24"/>
                <w:highlight w:val="none"/>
                <w:vertAlign w:val="subscript"/>
                <w:lang w:eastAsia="zh-CN"/>
              </w:rPr>
              <w:t>，</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n</w:t>
            </w:r>
            <w:r>
              <w:rPr>
                <w:rFonts w:hint="default" w:ascii="Times New Roman" w:hAnsi="Times New Roman" w:cs="Times New Roman"/>
                <w:color w:val="auto"/>
                <w:sz w:val="24"/>
                <w:highlight w:val="none"/>
              </w:rPr>
              <w:t>-每种化学物质的最大存在总量，位为t；</w:t>
            </w:r>
          </w:p>
          <w:p w14:paraId="1F8DDE5E">
            <w:pPr>
              <w:spacing w:line="360" w:lineRule="auto"/>
              <w:ind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2</w:t>
            </w:r>
            <w:r>
              <w:rPr>
                <w:rFonts w:hint="eastAsia" w:ascii="Times New Roman" w:hAnsi="Times New Roman" w:eastAsia="宋体" w:cs="Times New Roman"/>
                <w:color w:val="auto"/>
                <w:sz w:val="24"/>
                <w:highlight w:val="none"/>
                <w:vertAlign w:val="subscript"/>
                <w:lang w:eastAsia="zh-CN"/>
              </w:rPr>
              <w:t>，</w:t>
            </w: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vertAlign w:val="subscript"/>
              </w:rPr>
              <w:t>n</w:t>
            </w:r>
            <w:r>
              <w:rPr>
                <w:rFonts w:hint="default" w:ascii="Times New Roman" w:hAnsi="Times New Roman" w:cs="Times New Roman"/>
                <w:color w:val="auto"/>
                <w:sz w:val="24"/>
                <w:highlight w:val="none"/>
              </w:rPr>
              <w:t>-每种化学物质的临界量，t。</w:t>
            </w:r>
          </w:p>
          <w:p w14:paraId="209878EB">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当Q&lt;1时，该项目环境风险潜势为Ⅰ。</w:t>
            </w:r>
          </w:p>
          <w:p w14:paraId="14638EC3">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当Q≥1时，将Q值划分为：</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1</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1≤Q&lt;10，</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2</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10≤Q&lt;100，</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3</w:t>
            </w:r>
            <w:r>
              <w:rPr>
                <w:rFonts w:hint="eastAsia"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rPr>
              <w:t>Q≥100。</w:t>
            </w:r>
          </w:p>
          <w:p w14:paraId="2487E4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w:t>
            </w:r>
            <w:r>
              <w:rPr>
                <w:rFonts w:hint="eastAsia" w:ascii="Times New Roman" w:hAnsi="Times New Roman" w:eastAsia="宋体" w:cs="Times New Roman"/>
                <w:color w:val="auto"/>
                <w:sz w:val="24"/>
                <w:highlight w:val="none"/>
                <w:lang w:eastAsia="zh-CN"/>
              </w:rPr>
              <w:t>（HJ 169-2018）</w:t>
            </w:r>
            <w:r>
              <w:rPr>
                <w:rFonts w:hint="default" w:ascii="Times New Roman" w:hAnsi="Times New Roman" w:cs="Times New Roman"/>
                <w:color w:val="auto"/>
                <w:sz w:val="24"/>
                <w:highlight w:val="none"/>
              </w:rPr>
              <w:t>附录B，可知各类风险物质的临界量，由</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cs="Times New Roman"/>
                <w:color w:val="auto"/>
                <w:sz w:val="24"/>
                <w:highlight w:val="none"/>
              </w:rPr>
              <w:t>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-2</w:t>
            </w:r>
            <w:r>
              <w:rPr>
                <w:rFonts w:hint="default" w:ascii="Times New Roman" w:hAnsi="Times New Roman" w:cs="Times New Roman"/>
                <w:color w:val="auto"/>
                <w:sz w:val="24"/>
                <w:highlight w:val="none"/>
              </w:rPr>
              <w:t>可知，Q=</w:t>
            </w:r>
            <w:r>
              <w:rPr>
                <w:rFonts w:hint="default" w:ascii="Times New Roman" w:hAnsi="Times New Roman" w:eastAsia="宋体" w:cs="Times New Roman"/>
                <w:color w:val="auto"/>
                <w:sz w:val="24"/>
                <w:highlight w:val="none"/>
                <w:lang w:val="en-US" w:eastAsia="zh-CN"/>
              </w:rPr>
              <w:t>0.0</w:t>
            </w:r>
            <w:r>
              <w:rPr>
                <w:rFonts w:hint="eastAsia" w:ascii="Times New Roman" w:hAnsi="Times New Roman" w:eastAsia="宋体" w:cs="Times New Roman"/>
                <w:color w:val="auto"/>
                <w:sz w:val="24"/>
                <w:highlight w:val="none"/>
                <w:lang w:val="en-US" w:eastAsia="zh-CN"/>
              </w:rPr>
              <w:t>271</w:t>
            </w:r>
            <w:r>
              <w:rPr>
                <w:rFonts w:hint="default" w:ascii="Times New Roman" w:hAnsi="Times New Roman" w:cs="Times New Roman"/>
                <w:color w:val="auto"/>
                <w:sz w:val="24"/>
                <w:highlight w:val="none"/>
              </w:rPr>
              <w:t>，Q＜1，则本项目环境风险潜势为Ⅰ，展开简单分析。</w:t>
            </w:r>
          </w:p>
          <w:p w14:paraId="242A32FB">
            <w:pPr>
              <w:widowControl/>
              <w:spacing w:before="120" w:beforeLines="50" w:line="360" w:lineRule="auto"/>
              <w:jc w:val="center"/>
              <w:rPr>
                <w:rFonts w:hint="default" w:ascii="Times New Roman" w:hAnsi="Times New Roman" w:cs="Times New Roman"/>
                <w:color w:val="auto"/>
                <w:sz w:val="24"/>
                <w:highlight w:val="none"/>
              </w:rPr>
            </w:pPr>
            <w:r>
              <w:rPr>
                <w:rFonts w:hint="default" w:ascii="Times New Roman" w:hAnsi="Times New Roman" w:cs="Times New Roman"/>
                <w:b/>
                <w:bCs/>
                <w:color w:val="auto"/>
                <w:kern w:val="0"/>
                <w:sz w:val="24"/>
                <w:highlight w:val="none"/>
                <w:lang w:bidi="ar"/>
              </w:rPr>
              <w:t>表4</w:t>
            </w:r>
            <w:r>
              <w:rPr>
                <w:rFonts w:hint="eastAsia" w:ascii="Times New Roman" w:hAnsi="Times New Roman" w:eastAsia="宋体" w:cs="Times New Roman"/>
                <w:b/>
                <w:bCs/>
                <w:color w:val="auto"/>
                <w:kern w:val="0"/>
                <w:sz w:val="24"/>
                <w:highlight w:val="none"/>
                <w:lang w:val="en-US" w:eastAsia="zh-CN" w:bidi="ar"/>
              </w:rPr>
              <w:t>.8</w:t>
            </w:r>
            <w:r>
              <w:rPr>
                <w:rFonts w:hint="default" w:ascii="Times New Roman" w:hAnsi="Times New Roman" w:eastAsia="宋体" w:cs="Times New Roman"/>
                <w:b/>
                <w:bCs/>
                <w:color w:val="auto"/>
                <w:kern w:val="0"/>
                <w:sz w:val="24"/>
                <w:highlight w:val="none"/>
                <w:lang w:val="en-US" w:eastAsia="zh-CN" w:bidi="ar"/>
              </w:rPr>
              <w:t>-2</w:t>
            </w:r>
            <w:r>
              <w:rPr>
                <w:rFonts w:hint="default" w:ascii="Times New Roman" w:hAnsi="Times New Roman" w:cs="Times New Roman"/>
                <w:b/>
                <w:bCs/>
                <w:color w:val="auto"/>
                <w:kern w:val="0"/>
                <w:sz w:val="24"/>
                <w:highlight w:val="none"/>
                <w:lang w:bidi="ar"/>
              </w:rPr>
              <w:t xml:space="preserve"> 风险物质数量与临界量比值（Q）</w:t>
            </w:r>
          </w:p>
          <w:tbl>
            <w:tblPr>
              <w:tblStyle w:val="17"/>
              <w:tblpPr w:leftFromText="180" w:rightFromText="180" w:vertAnchor="text" w:horzAnchor="page" w:tblpX="44" w:tblpY="1"/>
              <w:tblOverlap w:val="never"/>
              <w:tblW w:w="8277" w:type="dxa"/>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108"/>
              <w:gridCol w:w="1405"/>
              <w:gridCol w:w="1630"/>
              <w:gridCol w:w="1774"/>
              <w:gridCol w:w="1297"/>
              <w:gridCol w:w="1063"/>
            </w:tblGrid>
            <w:tr w14:paraId="38D51D6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676" w:hRule="atLeast"/>
              </w:trPr>
              <w:tc>
                <w:tcPr>
                  <w:tcW w:w="1518" w:type="pct"/>
                  <w:gridSpan w:val="2"/>
                  <w:noWrap w:val="0"/>
                  <w:vAlign w:val="center"/>
                </w:tcPr>
                <w:p w14:paraId="6BD067EB">
                  <w:pPr>
                    <w:widowControl/>
                    <w:spacing w:line="340" w:lineRule="exact"/>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物质</w:t>
                  </w:r>
                  <w:r>
                    <w:rPr>
                      <w:rFonts w:hint="default" w:ascii="Times New Roman" w:hAnsi="Times New Roman" w:cs="Times New Roman"/>
                      <w:color w:val="auto"/>
                      <w:kern w:val="0"/>
                      <w:sz w:val="21"/>
                      <w:szCs w:val="21"/>
                      <w:highlight w:val="none"/>
                      <w:lang w:bidi="ar"/>
                    </w:rPr>
                    <w:t>名称</w:t>
                  </w:r>
                </w:p>
              </w:tc>
              <w:tc>
                <w:tcPr>
                  <w:tcW w:w="984" w:type="pct"/>
                  <w:noWrap/>
                  <w:vAlign w:val="center"/>
                </w:tcPr>
                <w:p w14:paraId="2DF473CD">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危险性特点</w:t>
                  </w:r>
                </w:p>
              </w:tc>
              <w:tc>
                <w:tcPr>
                  <w:tcW w:w="1071" w:type="pct"/>
                  <w:noWrap/>
                  <w:vAlign w:val="center"/>
                </w:tcPr>
                <w:p w14:paraId="3599B99A">
                  <w:pPr>
                    <w:widowControl/>
                    <w:spacing w:line="340" w:lineRule="exact"/>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最大存储</w:t>
                  </w:r>
                  <w:r>
                    <w:rPr>
                      <w:rFonts w:hint="default" w:ascii="Times New Roman" w:hAnsi="Times New Roman" w:cs="Times New Roman"/>
                      <w:color w:val="auto"/>
                      <w:kern w:val="0"/>
                      <w:sz w:val="21"/>
                      <w:szCs w:val="21"/>
                      <w:highlight w:val="none"/>
                      <w:lang w:bidi="ar"/>
                    </w:rPr>
                    <w:t>量（t）</w:t>
                  </w:r>
                </w:p>
              </w:tc>
              <w:tc>
                <w:tcPr>
                  <w:tcW w:w="783" w:type="pct"/>
                  <w:noWrap/>
                  <w:vAlign w:val="center"/>
                </w:tcPr>
                <w:p w14:paraId="1A28EF9A">
                  <w:pPr>
                    <w:widowControl/>
                    <w:spacing w:line="340" w:lineRule="exact"/>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临界</w:t>
                  </w:r>
                  <w:r>
                    <w:rPr>
                      <w:rFonts w:hint="default" w:ascii="Times New Roman" w:hAnsi="Times New Roman" w:cs="Times New Roman"/>
                      <w:color w:val="auto"/>
                      <w:kern w:val="0"/>
                      <w:sz w:val="21"/>
                      <w:szCs w:val="21"/>
                      <w:highlight w:val="none"/>
                      <w:lang w:bidi="ar"/>
                    </w:rPr>
                    <w:t>量（t）</w:t>
                  </w:r>
                </w:p>
              </w:tc>
              <w:tc>
                <w:tcPr>
                  <w:tcW w:w="642" w:type="pct"/>
                  <w:noWrap/>
                  <w:vAlign w:val="center"/>
                </w:tcPr>
                <w:p w14:paraId="42DBF908">
                  <w:pPr>
                    <w:widowControl/>
                    <w:spacing w:line="340" w:lineRule="exact"/>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Q</w:t>
                  </w:r>
                  <w:r>
                    <w:rPr>
                      <w:rFonts w:hint="default" w:ascii="Times New Roman" w:hAnsi="Times New Roman" w:cs="Times New Roman"/>
                      <w:color w:val="auto"/>
                      <w:kern w:val="0"/>
                      <w:sz w:val="21"/>
                      <w:szCs w:val="21"/>
                      <w:highlight w:val="none"/>
                      <w:vertAlign w:val="subscript"/>
                      <w:lang w:bidi="ar"/>
                    </w:rPr>
                    <w:t>1</w:t>
                  </w:r>
                </w:p>
              </w:tc>
            </w:tr>
            <w:tr w14:paraId="670EF2A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669" w:type="pct"/>
                  <w:vMerge w:val="restart"/>
                  <w:noWrap w:val="0"/>
                  <w:vAlign w:val="center"/>
                </w:tcPr>
                <w:p w14:paraId="287DB8DB">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溶剂油墨</w:t>
                  </w:r>
                </w:p>
              </w:tc>
              <w:tc>
                <w:tcPr>
                  <w:tcW w:w="848" w:type="pct"/>
                  <w:noWrap w:val="0"/>
                  <w:vAlign w:val="center"/>
                </w:tcPr>
                <w:p w14:paraId="688A6888">
                  <w:pPr>
                    <w:widowControl/>
                    <w:spacing w:line="340" w:lineRule="exact"/>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丁酮</w:t>
                  </w:r>
                </w:p>
              </w:tc>
              <w:tc>
                <w:tcPr>
                  <w:tcW w:w="984" w:type="pct"/>
                  <w:vMerge w:val="restart"/>
                  <w:noWrap/>
                  <w:vAlign w:val="center"/>
                </w:tcPr>
                <w:p w14:paraId="10EEA548">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易燃刺激性</w:t>
                  </w:r>
                </w:p>
              </w:tc>
              <w:tc>
                <w:tcPr>
                  <w:tcW w:w="1071" w:type="pct"/>
                  <w:noWrap/>
                  <w:vAlign w:val="center"/>
                </w:tcPr>
                <w:p w14:paraId="26AD1E8C">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0.045</w:t>
                  </w:r>
                </w:p>
              </w:tc>
              <w:tc>
                <w:tcPr>
                  <w:tcW w:w="783" w:type="pct"/>
                  <w:noWrap/>
                  <w:vAlign w:val="center"/>
                </w:tcPr>
                <w:p w14:paraId="7511A8D4">
                  <w:pPr>
                    <w:widowControl/>
                    <w:spacing w:line="340" w:lineRule="exact"/>
                    <w:jc w:val="center"/>
                    <w:textAlignment w:val="center"/>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10</w:t>
                  </w:r>
                </w:p>
              </w:tc>
              <w:tc>
                <w:tcPr>
                  <w:tcW w:w="642" w:type="pct"/>
                  <w:noWrap/>
                  <w:vAlign w:val="center"/>
                </w:tcPr>
                <w:p w14:paraId="662FA09F">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0.0045</w:t>
                  </w:r>
                </w:p>
              </w:tc>
            </w:tr>
            <w:tr w14:paraId="3380BFA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669" w:type="pct"/>
                  <w:vMerge w:val="continue"/>
                  <w:noWrap w:val="0"/>
                  <w:vAlign w:val="center"/>
                </w:tcPr>
                <w:p w14:paraId="31DAD435">
                  <w:pPr>
                    <w:widowControl/>
                    <w:spacing w:line="340" w:lineRule="exact"/>
                    <w:jc w:val="center"/>
                    <w:textAlignment w:val="center"/>
                    <w:rPr>
                      <w:rFonts w:hint="eastAsia" w:ascii="Times New Roman" w:hAnsi="Times New Roman" w:cs="Times New Roman"/>
                      <w:color w:val="auto"/>
                      <w:kern w:val="0"/>
                      <w:sz w:val="21"/>
                      <w:szCs w:val="21"/>
                      <w:highlight w:val="none"/>
                      <w:lang w:val="en-US" w:eastAsia="zh-CN" w:bidi="ar"/>
                    </w:rPr>
                  </w:pPr>
                </w:p>
              </w:tc>
              <w:tc>
                <w:tcPr>
                  <w:tcW w:w="848" w:type="pct"/>
                  <w:noWrap w:val="0"/>
                  <w:vAlign w:val="center"/>
                </w:tcPr>
                <w:p w14:paraId="69A1C489">
                  <w:pPr>
                    <w:widowControl/>
                    <w:spacing w:line="340" w:lineRule="exact"/>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环己酮</w:t>
                  </w:r>
                </w:p>
              </w:tc>
              <w:tc>
                <w:tcPr>
                  <w:tcW w:w="984" w:type="pct"/>
                  <w:vMerge w:val="continue"/>
                  <w:noWrap/>
                  <w:vAlign w:val="center"/>
                </w:tcPr>
                <w:p w14:paraId="4E33F9A0">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p>
              </w:tc>
              <w:tc>
                <w:tcPr>
                  <w:tcW w:w="1071" w:type="pct"/>
                  <w:noWrap/>
                  <w:vAlign w:val="center"/>
                </w:tcPr>
                <w:p w14:paraId="35A20344">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0.015</w:t>
                  </w:r>
                </w:p>
              </w:tc>
              <w:tc>
                <w:tcPr>
                  <w:tcW w:w="783" w:type="pct"/>
                  <w:noWrap/>
                  <w:vAlign w:val="center"/>
                </w:tcPr>
                <w:p w14:paraId="4A69106D">
                  <w:pPr>
                    <w:widowControl/>
                    <w:spacing w:line="340" w:lineRule="exact"/>
                    <w:jc w:val="center"/>
                    <w:textAlignment w:val="center"/>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10</w:t>
                  </w:r>
                </w:p>
              </w:tc>
              <w:tc>
                <w:tcPr>
                  <w:tcW w:w="642" w:type="pct"/>
                  <w:noWrap/>
                  <w:vAlign w:val="center"/>
                </w:tcPr>
                <w:p w14:paraId="21063636">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0.0015</w:t>
                  </w:r>
                </w:p>
              </w:tc>
            </w:tr>
            <w:tr w14:paraId="27E41D6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709" w:hRule="atLeast"/>
              </w:trPr>
              <w:tc>
                <w:tcPr>
                  <w:tcW w:w="669" w:type="pct"/>
                  <w:noWrap w:val="0"/>
                  <w:vAlign w:val="center"/>
                </w:tcPr>
                <w:p w14:paraId="06AA783F">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UV油墨</w:t>
                  </w:r>
                </w:p>
              </w:tc>
              <w:tc>
                <w:tcPr>
                  <w:tcW w:w="848" w:type="pct"/>
                  <w:noWrap w:val="0"/>
                  <w:vAlign w:val="center"/>
                </w:tcPr>
                <w:p w14:paraId="70B2A2C6">
                  <w:pPr>
                    <w:widowControl/>
                    <w:spacing w:line="340" w:lineRule="exact"/>
                    <w:jc w:val="center"/>
                    <w:textAlignment w:val="center"/>
                    <w:rPr>
                      <w:rFonts w:hint="eastAsia" w:ascii="Times New Roman" w:hAnsi="Times New Roman" w:cs="Times New Roman"/>
                      <w:color w:val="auto"/>
                      <w:kern w:val="0"/>
                      <w:sz w:val="21"/>
                      <w:szCs w:val="21"/>
                      <w:highlight w:val="none"/>
                      <w:lang w:val="en-US" w:eastAsia="zh-CN" w:bidi="ar"/>
                    </w:rPr>
                  </w:pPr>
                  <w:r>
                    <w:rPr>
                      <w:rFonts w:hint="eastAsia" w:ascii="Times New Roman" w:hAnsi="Times New Roman" w:eastAsia="宋体" w:cs="Times New Roman"/>
                      <w:color w:val="auto"/>
                      <w:highlight w:val="none"/>
                      <w:lang w:val="en-US" w:eastAsia="zh-CN"/>
                    </w:rPr>
                    <w:t>苯氧基己基丙烯酸酯</w:t>
                  </w:r>
                </w:p>
              </w:tc>
              <w:tc>
                <w:tcPr>
                  <w:tcW w:w="984" w:type="pct"/>
                  <w:noWrap/>
                  <w:vAlign w:val="center"/>
                </w:tcPr>
                <w:p w14:paraId="6A6D5430">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易燃刺激性</w:t>
                  </w:r>
                </w:p>
              </w:tc>
              <w:tc>
                <w:tcPr>
                  <w:tcW w:w="1071" w:type="pct"/>
                  <w:noWrap/>
                  <w:vAlign w:val="center"/>
                </w:tcPr>
                <w:p w14:paraId="5AC6FB03">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0.016</w:t>
                  </w:r>
                </w:p>
              </w:tc>
              <w:tc>
                <w:tcPr>
                  <w:tcW w:w="783" w:type="pct"/>
                  <w:noWrap/>
                  <w:vAlign w:val="center"/>
                </w:tcPr>
                <w:p w14:paraId="77DA2335">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10</w:t>
                  </w:r>
                  <w:r>
                    <w:rPr>
                      <w:rFonts w:hint="eastAsia" w:ascii="Times New Roman" w:hAnsi="Times New Roman" w:cs="Times New Roman"/>
                      <w:color w:val="auto"/>
                      <w:kern w:val="0"/>
                      <w:sz w:val="21"/>
                      <w:szCs w:val="21"/>
                      <w:highlight w:val="none"/>
                      <w:vertAlign w:val="superscript"/>
                      <w:lang w:val="en-US" w:eastAsia="zh-CN" w:bidi="ar"/>
                    </w:rPr>
                    <w:t>a</w:t>
                  </w:r>
                </w:p>
              </w:tc>
              <w:tc>
                <w:tcPr>
                  <w:tcW w:w="642" w:type="pct"/>
                  <w:noWrap/>
                  <w:vAlign w:val="center"/>
                </w:tcPr>
                <w:p w14:paraId="0AF305D7">
                  <w:pPr>
                    <w:widowControl/>
                    <w:spacing w:line="340" w:lineRule="exact"/>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0.0016</w:t>
                  </w:r>
                </w:p>
              </w:tc>
            </w:tr>
            <w:tr w14:paraId="0F4F22D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669" w:type="pct"/>
                  <w:vMerge w:val="restart"/>
                  <w:noWrap w:val="0"/>
                  <w:vAlign w:val="center"/>
                </w:tcPr>
                <w:p w14:paraId="26011338">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清洗剂</w:t>
                  </w:r>
                </w:p>
              </w:tc>
              <w:tc>
                <w:tcPr>
                  <w:tcW w:w="848" w:type="pct"/>
                  <w:noWrap w:val="0"/>
                  <w:vAlign w:val="center"/>
                </w:tcPr>
                <w:p w14:paraId="0A43F10C">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乙酸甲酯</w:t>
                  </w:r>
                </w:p>
              </w:tc>
              <w:tc>
                <w:tcPr>
                  <w:tcW w:w="984" w:type="pct"/>
                  <w:noWrap/>
                  <w:vAlign w:val="center"/>
                </w:tcPr>
                <w:p w14:paraId="139CAF15">
                  <w:pPr>
                    <w:widowControl/>
                    <w:spacing w:line="340" w:lineRule="exact"/>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bidi="ar"/>
                    </w:rPr>
                    <w:t>易燃刺激性</w:t>
                  </w:r>
                </w:p>
              </w:tc>
              <w:tc>
                <w:tcPr>
                  <w:tcW w:w="1071" w:type="pct"/>
                  <w:noWrap/>
                  <w:vAlign w:val="center"/>
                </w:tcPr>
                <w:p w14:paraId="5C4A7F04">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0.05</w:t>
                  </w:r>
                </w:p>
              </w:tc>
              <w:tc>
                <w:tcPr>
                  <w:tcW w:w="783" w:type="pct"/>
                  <w:noWrap/>
                  <w:vAlign w:val="center"/>
                </w:tcPr>
                <w:p w14:paraId="4BFBFE87">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highlight w:val="none"/>
                      <w:lang w:val="en-US" w:eastAsia="zh-CN" w:bidi="ar"/>
                    </w:rPr>
                    <w:t>10</w:t>
                  </w:r>
                </w:p>
              </w:tc>
              <w:tc>
                <w:tcPr>
                  <w:tcW w:w="642" w:type="pct"/>
                  <w:noWrap/>
                  <w:vAlign w:val="center"/>
                </w:tcPr>
                <w:p w14:paraId="4F23743D">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w:t>
                  </w:r>
                </w:p>
              </w:tc>
            </w:tr>
            <w:tr w14:paraId="6CFD414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669" w:type="pct"/>
                  <w:vMerge w:val="continue"/>
                  <w:noWrap w:val="0"/>
                  <w:vAlign w:val="center"/>
                </w:tcPr>
                <w:p w14:paraId="060CF48A">
                  <w:pPr>
                    <w:widowControl/>
                    <w:spacing w:line="340" w:lineRule="exact"/>
                    <w:jc w:val="center"/>
                    <w:textAlignment w:val="center"/>
                    <w:rPr>
                      <w:color w:val="auto"/>
                      <w:highlight w:val="none"/>
                    </w:rPr>
                  </w:pPr>
                </w:p>
              </w:tc>
              <w:tc>
                <w:tcPr>
                  <w:tcW w:w="848" w:type="pct"/>
                  <w:noWrap w:val="0"/>
                  <w:vAlign w:val="center"/>
                </w:tcPr>
                <w:p w14:paraId="4F050B9C">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乙酸乙酯</w:t>
                  </w:r>
                </w:p>
              </w:tc>
              <w:tc>
                <w:tcPr>
                  <w:tcW w:w="984" w:type="pct"/>
                  <w:noWrap/>
                  <w:vAlign w:val="center"/>
                </w:tcPr>
                <w:p w14:paraId="768E8FF8">
                  <w:pPr>
                    <w:widowControl/>
                    <w:spacing w:line="340" w:lineRule="exact"/>
                    <w:jc w:val="center"/>
                    <w:textAlignment w:val="center"/>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易燃刺激性</w:t>
                  </w:r>
                </w:p>
              </w:tc>
              <w:tc>
                <w:tcPr>
                  <w:tcW w:w="1071" w:type="pct"/>
                  <w:noWrap/>
                  <w:vAlign w:val="center"/>
                </w:tcPr>
                <w:p w14:paraId="2A781AAE">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0.025</w:t>
                  </w:r>
                </w:p>
              </w:tc>
              <w:tc>
                <w:tcPr>
                  <w:tcW w:w="783" w:type="pct"/>
                  <w:noWrap/>
                  <w:vAlign w:val="center"/>
                </w:tcPr>
                <w:p w14:paraId="0FE1362A">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10</w:t>
                  </w:r>
                </w:p>
              </w:tc>
              <w:tc>
                <w:tcPr>
                  <w:tcW w:w="642" w:type="pct"/>
                  <w:noWrap/>
                  <w:vAlign w:val="center"/>
                </w:tcPr>
                <w:p w14:paraId="186301AC">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0.0025</w:t>
                  </w:r>
                </w:p>
              </w:tc>
            </w:tr>
            <w:tr w14:paraId="6198736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1518" w:type="pct"/>
                  <w:gridSpan w:val="2"/>
                  <w:noWrap w:val="0"/>
                  <w:vAlign w:val="center"/>
                </w:tcPr>
                <w:p w14:paraId="6466C473">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废活性炭</w:t>
                  </w:r>
                </w:p>
              </w:tc>
              <w:tc>
                <w:tcPr>
                  <w:tcW w:w="984" w:type="pct"/>
                  <w:noWrap/>
                  <w:vAlign w:val="center"/>
                </w:tcPr>
                <w:p w14:paraId="26AC7A59">
                  <w:pPr>
                    <w:widowControl/>
                    <w:spacing w:line="340" w:lineRule="exact"/>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lang w:val="en-US" w:eastAsia="zh-CN" w:bidi="ar"/>
                    </w:rPr>
                    <w:t>易燃物质</w:t>
                  </w:r>
                </w:p>
              </w:tc>
              <w:tc>
                <w:tcPr>
                  <w:tcW w:w="1071" w:type="pct"/>
                  <w:noWrap/>
                  <w:vAlign w:val="center"/>
                </w:tcPr>
                <w:p w14:paraId="5FD6D822">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6</w:t>
                  </w:r>
                </w:p>
              </w:tc>
              <w:tc>
                <w:tcPr>
                  <w:tcW w:w="783" w:type="pct"/>
                  <w:noWrap/>
                  <w:vAlign w:val="center"/>
                </w:tcPr>
                <w:p w14:paraId="1D22BF58">
                  <w:pPr>
                    <w:widowControl/>
                    <w:spacing w:line="34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bidi="ar"/>
                    </w:rPr>
                    <w:t>50</w:t>
                  </w:r>
                  <w:r>
                    <w:rPr>
                      <w:rFonts w:hint="eastAsia" w:ascii="Times New Roman" w:hAnsi="Times New Roman" w:cs="Times New Roman"/>
                      <w:color w:val="auto"/>
                      <w:kern w:val="0"/>
                      <w:sz w:val="21"/>
                      <w:szCs w:val="21"/>
                      <w:highlight w:val="none"/>
                      <w:vertAlign w:val="superscript"/>
                      <w:lang w:val="en-US" w:eastAsia="zh-CN" w:bidi="ar"/>
                    </w:rPr>
                    <w:t>b</w:t>
                  </w:r>
                </w:p>
              </w:tc>
              <w:tc>
                <w:tcPr>
                  <w:tcW w:w="642" w:type="pct"/>
                  <w:noWrap/>
                  <w:vAlign w:val="center"/>
                </w:tcPr>
                <w:p w14:paraId="04F05A26">
                  <w:pPr>
                    <w:spacing w:line="3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12</w:t>
                  </w:r>
                </w:p>
              </w:tc>
            </w:tr>
            <w:tr w14:paraId="7688868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75" w:hRule="atLeast"/>
              </w:trPr>
              <w:tc>
                <w:tcPr>
                  <w:tcW w:w="4357" w:type="pct"/>
                  <w:gridSpan w:val="5"/>
                  <w:noWrap w:val="0"/>
                  <w:vAlign w:val="center"/>
                </w:tcPr>
                <w:p w14:paraId="24DE3FE3">
                  <w:pPr>
                    <w:widowControl/>
                    <w:spacing w:line="340" w:lineRule="exact"/>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合计</w:t>
                  </w:r>
                </w:p>
              </w:tc>
              <w:tc>
                <w:tcPr>
                  <w:tcW w:w="642" w:type="pct"/>
                  <w:noWrap/>
                  <w:vAlign w:val="center"/>
                </w:tcPr>
                <w:p w14:paraId="05FB44C7">
                  <w:pPr>
                    <w:spacing w:line="3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271</w:t>
                  </w:r>
                </w:p>
              </w:tc>
            </w:tr>
            <w:tr w14:paraId="09D75F8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436" w:hRule="atLeast"/>
              </w:trPr>
              <w:tc>
                <w:tcPr>
                  <w:tcW w:w="5000" w:type="pct"/>
                  <w:gridSpan w:val="6"/>
                  <w:noWrap w:val="0"/>
                  <w:vAlign w:val="center"/>
                </w:tcPr>
                <w:p w14:paraId="1A892FA2">
                  <w:pPr>
                    <w:numPr>
                      <w:ilvl w:val="0"/>
                      <w:numId w:val="0"/>
                    </w:numPr>
                    <w:spacing w:line="340" w:lineRule="exact"/>
                    <w:ind w:lef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备注：</w:t>
                  </w:r>
                  <w:r>
                    <w:rPr>
                      <w:rFonts w:hint="eastAsia" w:ascii="Times New Roman" w:hAnsi="Times New Roman" w:eastAsia="宋体" w:cs="Times New Roman"/>
                      <w:color w:val="auto"/>
                      <w:sz w:val="21"/>
                      <w:szCs w:val="21"/>
                      <w:highlight w:val="none"/>
                      <w:lang w:val="en-US" w:eastAsia="zh-CN"/>
                    </w:rPr>
                    <w:t>a因为缺少该物质的详细资料，该物质临界量参照同类型的丙烯酸甲酯与丙烯酸丁酯的临界量推荐值</w:t>
                  </w:r>
                </w:p>
                <w:p w14:paraId="4DD59EA8">
                  <w:pPr>
                    <w:numPr>
                      <w:ilvl w:val="0"/>
                      <w:numId w:val="0"/>
                    </w:numPr>
                    <w:spacing w:line="340" w:lineRule="exact"/>
                    <w:ind w:leftChars="0"/>
                    <w:jc w:val="left"/>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b</w:t>
                  </w:r>
                  <w:r>
                    <w:rPr>
                      <w:rFonts w:hint="default" w:ascii="Times New Roman" w:hAnsi="Times New Roman" w:cs="Times New Roman"/>
                      <w:color w:val="auto"/>
                      <w:sz w:val="21"/>
                      <w:szCs w:val="21"/>
                      <w:highlight w:val="none"/>
                    </w:rPr>
                    <w:t>该物质临界量参</w:t>
                  </w:r>
                  <w:r>
                    <w:rPr>
                      <w:rFonts w:hint="eastAsia" w:ascii="Times New Roman" w:hAnsi="Times New Roman" w:eastAsia="宋体" w:cs="Times New Roman"/>
                      <w:color w:val="auto"/>
                      <w:sz w:val="21"/>
                      <w:szCs w:val="21"/>
                      <w:highlight w:val="none"/>
                      <w:lang w:eastAsia="zh-CN"/>
                    </w:rPr>
                    <w:t>HJ 169</w:t>
                  </w:r>
                  <w:r>
                    <w:rPr>
                      <w:rFonts w:hint="default" w:ascii="Times New Roman" w:hAnsi="Times New Roman" w:cs="Times New Roman"/>
                      <w:color w:val="auto"/>
                      <w:sz w:val="21"/>
                      <w:szCs w:val="21"/>
                      <w:highlight w:val="none"/>
                    </w:rPr>
                    <w:t>-2018附录B表B.2中的健康危险急性毒性物质</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rPr>
                    <w:t>类别2、类别3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rPr>
                    <w:t>的临界量推荐值</w:t>
                  </w:r>
                </w:p>
              </w:tc>
            </w:tr>
          </w:tbl>
          <w:p w14:paraId="4BB9EFFD">
            <w:pPr>
              <w:pStyle w:val="37"/>
              <w:spacing w:before="122" w:line="219" w:lineRule="auto"/>
              <w:ind w:left="496"/>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rPr>
              <w:t>（</w:t>
            </w:r>
            <w:r>
              <w:rPr>
                <w:rFonts w:hint="default" w:ascii="Times New Roman" w:hAnsi="Times New Roman" w:eastAsia="Times New Roman" w:cs="Times New Roman"/>
                <w:color w:val="auto"/>
                <w:spacing w:val="-2"/>
                <w:highlight w:val="none"/>
              </w:rPr>
              <w:t>3</w:t>
            </w:r>
            <w:r>
              <w:rPr>
                <w:rFonts w:hint="default" w:ascii="Times New Roman" w:hAnsi="Times New Roman" w:cs="Times New Roman"/>
                <w:color w:val="auto"/>
                <w:spacing w:val="-2"/>
                <w:highlight w:val="none"/>
              </w:rPr>
              <w:t>）生产系统危险性识别</w:t>
            </w:r>
          </w:p>
          <w:p w14:paraId="0C9B6749">
            <w:pPr>
              <w:pStyle w:val="37"/>
              <w:spacing w:before="182" w:line="345" w:lineRule="auto"/>
              <w:ind w:left="7" w:right="6" w:firstLine="477"/>
              <w:rPr>
                <w:rFonts w:hint="default" w:ascii="Times New Roman" w:hAnsi="Times New Roman" w:cs="Times New Roman"/>
                <w:color w:val="auto"/>
                <w:highlight w:val="none"/>
              </w:rPr>
            </w:pPr>
            <w:r>
              <w:rPr>
                <w:rFonts w:hint="default" w:ascii="Times New Roman" w:hAnsi="Times New Roman" w:cs="Times New Roman"/>
                <w:color w:val="auto"/>
                <w:spacing w:val="2"/>
                <w:highlight w:val="none"/>
                <w:lang w:val="en-US" w:eastAsia="zh-CN"/>
              </w:rPr>
              <w:t>本</w:t>
            </w:r>
            <w:r>
              <w:rPr>
                <w:rFonts w:hint="default" w:ascii="Times New Roman" w:hAnsi="Times New Roman" w:cs="Times New Roman"/>
                <w:color w:val="auto"/>
                <w:spacing w:val="2"/>
                <w:highlight w:val="none"/>
              </w:rPr>
              <w:t>项目的生产过程中未使用高温高压环境，其操作条件较为温和，因此</w:t>
            </w:r>
            <w:r>
              <w:rPr>
                <w:rFonts w:hint="default" w:ascii="Times New Roman" w:hAnsi="Times New Roman" w:cs="Times New Roman"/>
                <w:color w:val="auto"/>
                <w:spacing w:val="-1"/>
                <w:highlight w:val="none"/>
              </w:rPr>
              <w:t>生产设施使用过程中不存在环境风险。</w:t>
            </w:r>
          </w:p>
          <w:p w14:paraId="1B18C7DD">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cs="Times New Roman"/>
                <w:b/>
                <w:bCs/>
                <w:sz w:val="24"/>
                <w:highlight w:val="none"/>
                <w:lang w:val="en-US" w:eastAsia="zh-CN"/>
              </w:rPr>
            </w:pPr>
            <w:r>
              <w:rPr>
                <w:rFonts w:hint="eastAsia" w:ascii="Times New Roman" w:hAnsi="Times New Roman" w:cs="Times New Roman"/>
                <w:b/>
                <w:bCs/>
                <w:sz w:val="24"/>
                <w:highlight w:val="none"/>
                <w:lang w:val="en-US" w:eastAsia="zh-CN"/>
              </w:rPr>
              <w:t>4.8.2 环境风险分析</w:t>
            </w:r>
          </w:p>
          <w:p w14:paraId="42D2917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（1）化学品泄漏环境影响分析</w:t>
            </w:r>
          </w:p>
          <w:p w14:paraId="037A05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本项目所用油墨等原辅料储存在专用化学品仓库，在搬运、装卸过程中可能因容器发生侧翻、损坏容器，造成化学品泄漏。当发生这类事故时，可将泄漏物料控制在车间范围内并将其重新收集至桶内，印刷车间内地面加涂防渗漆，泄漏物料不会直接向地下渗漏，发生该类事故，只要措施控制得当，不会造成泄漏物进入地下水及土壤环境。</w:t>
            </w:r>
          </w:p>
          <w:p w14:paraId="115023C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（2）危废泄漏环境影响分析</w:t>
            </w:r>
          </w:p>
          <w:p w14:paraId="5DDF93C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生产过</w:t>
            </w:r>
            <w:r>
              <w:rPr>
                <w:rFonts w:hint="eastAsia" w:ascii="Times New Roman" w:hAnsi="Times New Roman" w:cs="Times New Roman"/>
                <w:sz w:val="24"/>
                <w:highlight w:val="none"/>
                <w:lang w:val="en-US" w:eastAsia="zh-CN"/>
              </w:rPr>
              <w:t>程中</w:t>
            </w:r>
            <w:r>
              <w:rPr>
                <w:rFonts w:hint="default" w:ascii="Times New Roman" w:hAnsi="Times New Roman" w:cs="Times New Roman"/>
                <w:sz w:val="24"/>
                <w:highlight w:val="none"/>
                <w:lang w:val="en-US" w:eastAsia="zh-CN"/>
              </w:rPr>
              <w:t>产生的危险废物主要为废原料空桶和废气处理设施中更换的废活性炭。危废在收集、贮存及厂内转运过程中，有发生洒落和倾倒的事故风险。</w:t>
            </w:r>
            <w:r>
              <w:rPr>
                <w:rFonts w:hint="eastAsia" w:ascii="Times New Roman" w:hAnsi="Times New Roman" w:cs="Times New Roman"/>
                <w:sz w:val="24"/>
                <w:highlight w:val="none"/>
                <w:lang w:val="en-US" w:eastAsia="zh-CN"/>
              </w:rPr>
              <w:t>危废暂存间及专用化学品仓库</w:t>
            </w:r>
            <w:r>
              <w:rPr>
                <w:rFonts w:hint="default" w:ascii="Times New Roman" w:hAnsi="Times New Roman" w:cs="Times New Roman"/>
                <w:sz w:val="24"/>
                <w:highlight w:val="none"/>
                <w:lang w:val="en-US" w:eastAsia="zh-CN"/>
              </w:rPr>
              <w:t>地面</w:t>
            </w:r>
            <w:r>
              <w:rPr>
                <w:rFonts w:hint="eastAsia" w:ascii="Times New Roman" w:hAnsi="Times New Roman" w:cs="Times New Roman"/>
                <w:sz w:val="24"/>
                <w:highlight w:val="none"/>
                <w:lang w:val="en-US" w:eastAsia="zh-CN"/>
              </w:rPr>
              <w:t>设置</w:t>
            </w:r>
            <w:r>
              <w:rPr>
                <w:rFonts w:hint="default" w:ascii="Times New Roman" w:hAnsi="Times New Roman" w:cs="Times New Roman"/>
                <w:sz w:val="24"/>
                <w:highlight w:val="none"/>
                <w:lang w:val="en-US" w:eastAsia="zh-CN"/>
              </w:rPr>
              <w:t>防腐防渗措施以及围堰，当发生泄漏时尽量将废液引至</w:t>
            </w:r>
            <w:r>
              <w:rPr>
                <w:rFonts w:hint="eastAsia" w:ascii="Times New Roman" w:hAnsi="Times New Roman" w:cs="Times New Roman"/>
                <w:sz w:val="24"/>
                <w:highlight w:val="none"/>
                <w:lang w:val="en-US" w:eastAsia="zh-CN"/>
              </w:rPr>
              <w:t>危废暂存间及专用化学品仓库</w:t>
            </w:r>
            <w:r>
              <w:rPr>
                <w:rFonts w:hint="default" w:ascii="Times New Roman" w:hAnsi="Times New Roman" w:cs="Times New Roman"/>
                <w:sz w:val="24"/>
                <w:highlight w:val="none"/>
                <w:lang w:val="en-US" w:eastAsia="zh-CN"/>
              </w:rPr>
              <w:t>事故收集池中，洒落在地上的</w:t>
            </w:r>
            <w:r>
              <w:rPr>
                <w:rFonts w:hint="eastAsia" w:ascii="Times New Roman" w:hAnsi="Times New Roman" w:cs="Times New Roman"/>
                <w:sz w:val="24"/>
                <w:highlight w:val="none"/>
                <w:lang w:val="en-US" w:eastAsia="zh-CN"/>
              </w:rPr>
              <w:t>固体</w:t>
            </w:r>
            <w:r>
              <w:rPr>
                <w:rFonts w:hint="default" w:ascii="Times New Roman" w:hAnsi="Times New Roman" w:cs="Times New Roman"/>
                <w:sz w:val="24"/>
                <w:highlight w:val="none"/>
                <w:lang w:val="en-US" w:eastAsia="zh-CN"/>
              </w:rPr>
              <w:t>危废应及时清扫。</w:t>
            </w:r>
          </w:p>
          <w:p w14:paraId="6F0ED53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（3）废气事故排放环境影响分析</w:t>
            </w:r>
          </w:p>
          <w:p w14:paraId="44FEA2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废气处理装置故障可能导致废气未经处理直接排放，最大事故排放量为印刷车间工作的废气排放。当发现废气处理设施故障后，应立即停产，对设施进行检修，事故性排放的有机废气在区域范围内会明显增加，事故废气为短时间排放，在大气稀释扩散后对周边环境保护目标影响不大。</w:t>
            </w:r>
          </w:p>
          <w:p w14:paraId="407F5E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（4）火灾及其衍生事故环境影响分析</w:t>
            </w:r>
          </w:p>
          <w:p w14:paraId="592FC30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可燃物质遇到引火源就会被点燃而发火燃烧，它们被点燃后的燃烧方式有池火、喷射火、火球和突发火等。物料泄漏后主要以突发</w:t>
            </w:r>
            <w:r>
              <w:rPr>
                <w:rFonts w:hint="eastAsia" w:ascii="Times New Roman" w:hAnsi="Times New Roman" w:cs="Times New Roman"/>
                <w:sz w:val="24"/>
                <w:highlight w:val="none"/>
                <w:lang w:val="en-US" w:eastAsia="zh-CN"/>
              </w:rPr>
              <w:t>火灾</w:t>
            </w:r>
            <w:r>
              <w:rPr>
                <w:rFonts w:hint="default" w:ascii="Times New Roman" w:hAnsi="Times New Roman" w:cs="Times New Roman"/>
                <w:sz w:val="24"/>
                <w:highlight w:val="none"/>
                <w:lang w:val="en-US" w:eastAsia="zh-CN"/>
              </w:rPr>
              <w:t>的形式燃烧，迁扩建项目用地为工业用地，发生火灾主要可能对生产区职工造成影响，对周边环境影响较小；根据原辅材料特点，企业发生火灾的仓库主要采用泡沫灭火器控制，因此一般不会造成含有危险化学品的消防废水大量排放，故不会对周边地表水环境造成二次污染影响。</w:t>
            </w:r>
          </w:p>
          <w:p w14:paraId="533A238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本项目使用的化学品应储存在阴凉、通风仓间内，远离火种、热源，包装要求密闭，贮存区应进行</w:t>
            </w:r>
            <w:r>
              <w:rPr>
                <w:rFonts w:hint="eastAsia" w:ascii="Times New Roman" w:hAnsi="Times New Roman" w:cs="Times New Roman"/>
                <w:sz w:val="24"/>
                <w:highlight w:val="none"/>
                <w:lang w:val="en-US" w:eastAsia="zh-CN"/>
              </w:rPr>
              <w:t>防</w:t>
            </w:r>
            <w:r>
              <w:rPr>
                <w:rFonts w:hint="default" w:ascii="Times New Roman" w:hAnsi="Times New Roman" w:cs="Times New Roman"/>
                <w:sz w:val="24"/>
                <w:highlight w:val="none"/>
                <w:lang w:val="en-US" w:eastAsia="zh-CN"/>
              </w:rPr>
              <w:t>腐防渗处理，化学品储存间上锁并设置标识。</w:t>
            </w:r>
          </w:p>
          <w:p w14:paraId="35DB112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cs="Times New Roman"/>
                <w:b/>
                <w:bCs/>
                <w:sz w:val="24"/>
                <w:highlight w:val="none"/>
                <w:lang w:val="en-US" w:eastAsia="zh-CN"/>
              </w:rPr>
            </w:pPr>
            <w:r>
              <w:rPr>
                <w:rFonts w:hint="eastAsia" w:ascii="Times New Roman" w:hAnsi="Times New Roman" w:cs="Times New Roman"/>
                <w:b/>
                <w:bCs/>
                <w:sz w:val="24"/>
                <w:highlight w:val="none"/>
                <w:lang w:val="en-US" w:eastAsia="zh-CN"/>
              </w:rPr>
              <w:t>4.8.3 环境风险防范措施</w:t>
            </w:r>
          </w:p>
          <w:p w14:paraId="34A4D7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（1）化学品的贮存、搬运和使用防范措施</w:t>
            </w:r>
          </w:p>
          <w:p w14:paraId="43CAF20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①油墨等原辅料储存在专用化学品仓库内，专用化学品仓库按规范要求设置防腐防渗处理。</w:t>
            </w:r>
          </w:p>
          <w:p w14:paraId="2C25EB4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②按规范要求采取防静电、防雷击措施，有效地防止雷击和静电引起的风险事故。</w:t>
            </w:r>
          </w:p>
          <w:p w14:paraId="0EAD762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③建立可靠的消防系统，并配备齐全的消防灭火器，消防水池。</w:t>
            </w:r>
          </w:p>
          <w:p w14:paraId="1D50095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④要采取措施，杜绝一切火源：</w:t>
            </w:r>
          </w:p>
          <w:p w14:paraId="246579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a 、设有醒目的《严禁烟火》等</w:t>
            </w:r>
            <w:r>
              <w:rPr>
                <w:rFonts w:hint="eastAsia" w:ascii="Times New Roman" w:hAnsi="Times New Roman" w:cs="Times New Roman"/>
                <w:sz w:val="24"/>
                <w:highlight w:val="none"/>
                <w:lang w:val="en-US" w:eastAsia="zh-CN"/>
              </w:rPr>
              <w:t>警示</w:t>
            </w:r>
            <w:r>
              <w:rPr>
                <w:rFonts w:hint="default" w:ascii="Times New Roman" w:hAnsi="Times New Roman" w:cs="Times New Roman"/>
                <w:sz w:val="24"/>
                <w:highlight w:val="none"/>
                <w:lang w:val="en-US" w:eastAsia="zh-CN"/>
              </w:rPr>
              <w:t>牌。</w:t>
            </w:r>
          </w:p>
          <w:p w14:paraId="5BA8AA5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b 、不得带入火柴、打火机等火种和穿带钉的鞋进入。</w:t>
            </w:r>
          </w:p>
          <w:p w14:paraId="5DC93E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c 、生产工艺和装卸设备要有防雷及防静电措施，操作人员不许穿采用化学纤维衣料制作的工作服。</w:t>
            </w:r>
          </w:p>
          <w:p w14:paraId="4BA5528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d 、操作和维修要采用不发火工具。如需进行动火作业时，要先制定方案，报主管领导批准后方可进行。</w:t>
            </w:r>
          </w:p>
          <w:p w14:paraId="41FF988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（2）化学品泄漏应急处理措施；</w:t>
            </w:r>
          </w:p>
          <w:p w14:paraId="3CD7D3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①当发生泄漏时，隔离泄漏污染区，限制出入，切断火源；</w:t>
            </w:r>
          </w:p>
          <w:p w14:paraId="58A2F00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②建议应急处理人员戴自吸过滤式口罩，不要直接接触泄漏物；</w:t>
            </w:r>
          </w:p>
          <w:p w14:paraId="750694A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③若为液态化学品发生泄漏（如油性墨、稀释剂和水性油墨等），立即用沙袋进行围堵，应避免扬尘，用集料桶进行收集或用砂土、滑石粉、棉布等吸附材料进行吸附，转移出的物品立即密封，运至专门储运点，集中收集后再处理处置；</w:t>
            </w:r>
          </w:p>
          <w:p w14:paraId="6CB642D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④设置化学品泄漏报警装置。</w:t>
            </w:r>
          </w:p>
          <w:p w14:paraId="57433C0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（3）危废泄漏应急处置措施</w:t>
            </w:r>
          </w:p>
          <w:p w14:paraId="1E88173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①危废贮存间地面加涂防渗树脂涂层，出入口设置一定高度围堰，防止泄漏物漫流出危废贮存间外，危废盛装容器底部加垫防渗托盘，使用桶盛装危废时桶口需密封，使用袋子盛装危废时袋口需打结，防止危废泄漏。</w:t>
            </w:r>
          </w:p>
          <w:p w14:paraId="2183B2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②严禁在危废贮存间内及附近区域使用明火，危废贮存间一般情况下需上锁，钥匙专人管理，管理人员需定期巡检，禁止闲杂人等进入。</w:t>
            </w:r>
          </w:p>
          <w:p w14:paraId="432C387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③按时转运危险废物，禁止超量储存，避免因堆叠导致倾倒泄漏等突发事故发生。</w:t>
            </w:r>
          </w:p>
          <w:p w14:paraId="4C49B9F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（4）加强设备、仪表的维修、保养，定期检查各种设备，杜绝事故隐患，降低事故发生概率，杜绝由于设备劳损、拆旧带来的事故隐患。</w:t>
            </w:r>
          </w:p>
          <w:p w14:paraId="6F80425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（5）火灾事故应急处理措施</w:t>
            </w:r>
          </w:p>
          <w:p w14:paraId="698B66F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当火灾事故发生时，根据原辅材料特点，企业发生火灾原料仓主要采用泡沫灭火器控制，因此一般不会造成含有危险化学品的消防废水大量排放，故不会对周边地表水环境造成二次污染影响。</w:t>
            </w:r>
          </w:p>
          <w:p w14:paraId="05724D0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①有毒有害物质由抢修抢险组配备相应的防护、收集用具收集后，贮存于密封的桶内，转移到安全的区域，最终统一处置，优先进行回收利用，如不可回</w:t>
            </w:r>
            <w:r>
              <w:rPr>
                <w:rFonts w:hint="eastAsia" w:ascii="Times New Roman" w:hAnsi="Times New Roman" w:cs="Times New Roman"/>
                <w:sz w:val="24"/>
                <w:highlight w:val="none"/>
                <w:lang w:val="en-US" w:eastAsia="zh-CN"/>
              </w:rPr>
              <w:t>收利</w:t>
            </w:r>
            <w:r>
              <w:rPr>
                <w:rFonts w:hint="default" w:ascii="Times New Roman" w:hAnsi="Times New Roman" w:cs="Times New Roman"/>
                <w:sz w:val="24"/>
                <w:highlight w:val="none"/>
                <w:lang w:val="en-US" w:eastAsia="zh-CN"/>
              </w:rPr>
              <w:t>用则委托有资质的单位处理；</w:t>
            </w:r>
          </w:p>
          <w:p w14:paraId="65811BF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②报告厂区或上级消防控制部门，启动消防和环境风险应急预案。</w:t>
            </w:r>
          </w:p>
          <w:p w14:paraId="025AD1D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③设置火灾报警装置。</w:t>
            </w:r>
          </w:p>
          <w:p w14:paraId="6260EB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（6）其他风险防范及管理措施</w:t>
            </w:r>
          </w:p>
          <w:p w14:paraId="3DF8E1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①各生产环节严格执行生产管理的有关规定，加强设备的检修及保养，提高管理人员素质，并设置机器事故应急措施及管理制度，确保设备长期处于良好状态，使设备达到预期的处理效果。</w:t>
            </w:r>
          </w:p>
          <w:p w14:paraId="040813B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②现场作业人员定时记录废气设施处理状况，并派专人巡视，遇不良工作状况应立即停止车间相关作业，维修正常后再开始作业，杜绝事故性废气排放，并及时呈报单位主管，待检修完毕再通知生产车间相关工序。</w:t>
            </w:r>
          </w:p>
          <w:p w14:paraId="7E46DF7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③生产现场和运输车辆配置个体防护器材和应急器具，做好员工的劳动保护；成立公司环境风险应急组织，编写应急预案，并定期演练。如能做好以上风险防范措施，则环境风险影响可以减少到最低并达到可以接受的程度。</w:t>
            </w:r>
          </w:p>
          <w:p w14:paraId="654EA3B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sz w:val="24"/>
                <w:highlight w:val="none"/>
                <w:lang w:val="en-US" w:eastAsia="zh-CN"/>
              </w:rPr>
            </w:pPr>
            <w:r>
              <w:rPr>
                <w:rFonts w:hint="eastAsia" w:ascii="Times New Roman" w:hAnsi="Times New Roman" w:cs="Times New Roman"/>
                <w:b/>
                <w:bCs/>
                <w:sz w:val="24"/>
                <w:highlight w:val="none"/>
                <w:lang w:val="en-US" w:eastAsia="zh-CN"/>
              </w:rPr>
              <w:t>4.8.4 环境风险评价结论与建议</w:t>
            </w:r>
          </w:p>
          <w:p w14:paraId="2840156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建设单位在充分落实本环评全面的风险防范与应急响应策略，准备应急预案，并积极构建与邻近企业的应急联动机制后，建设单位能够显著削弱环境风险，确保在突发环境事件发生时，能够迅速且有效地控制风险扩散，从而将环境污染的潜在危害降至最低水平。这一系列环境风险防范措施是高效且可行的，使得风险的实际影响保持在可承受范围之内。</w:t>
            </w:r>
          </w:p>
        </w:tc>
      </w:tr>
    </w:tbl>
    <w:p w14:paraId="4B0700D6">
      <w:pPr>
        <w:spacing w:line="248" w:lineRule="auto"/>
        <w:rPr>
          <w:rFonts w:ascii="Arial"/>
          <w:sz w:val="21"/>
          <w:highlight w:val="none"/>
        </w:rPr>
      </w:pPr>
    </w:p>
    <w:p w14:paraId="78EAAC94">
      <w:pPr>
        <w:rPr>
          <w:rFonts w:ascii="Arial"/>
          <w:sz w:val="21"/>
          <w:highlight w:val="none"/>
        </w:rPr>
      </w:pPr>
      <w:r>
        <w:rPr>
          <w:rFonts w:ascii="Arial"/>
          <w:sz w:val="21"/>
          <w:highlight w:val="none"/>
        </w:rPr>
        <w:br w:type="page"/>
      </w:r>
    </w:p>
    <w:p w14:paraId="0F5AE518">
      <w:pPr>
        <w:spacing w:before="94" w:line="241" w:lineRule="auto"/>
        <w:ind w:left="2331"/>
        <w:outlineLvl w:val="0"/>
        <w:rPr>
          <w:rFonts w:ascii="黑体" w:hAnsi="黑体" w:eastAsia="黑体" w:cs="黑体"/>
          <w:sz w:val="29"/>
          <w:szCs w:val="29"/>
          <w:highlight w:val="none"/>
        </w:rPr>
      </w:pPr>
      <w:bookmarkStart w:id="11" w:name="_Toc26738"/>
      <w:r>
        <w:rPr>
          <w:rFonts w:ascii="黑体" w:hAnsi="黑体" w:eastAsia="黑体" w:cs="黑体"/>
          <w:spacing w:val="16"/>
          <w:sz w:val="29"/>
          <w:szCs w:val="29"/>
          <w:highlight w:val="none"/>
        </w:rPr>
        <w:t>五</w:t>
      </w:r>
      <w:r>
        <w:rPr>
          <w:rFonts w:ascii="黑体" w:hAnsi="黑体" w:eastAsia="黑体" w:cs="黑体"/>
          <w:spacing w:val="8"/>
          <w:sz w:val="29"/>
          <w:szCs w:val="29"/>
          <w:highlight w:val="none"/>
        </w:rPr>
        <w:t>、环境保护措施监督检查清单</w:t>
      </w:r>
      <w:bookmarkEnd w:id="11"/>
    </w:p>
    <w:p w14:paraId="6C238321">
      <w:pPr>
        <w:rPr>
          <w:highlight w:val="none"/>
        </w:rPr>
      </w:pPr>
    </w:p>
    <w:p w14:paraId="18677133">
      <w:pPr>
        <w:spacing w:line="44" w:lineRule="auto"/>
        <w:rPr>
          <w:rFonts w:ascii="Arial"/>
          <w:sz w:val="2"/>
          <w:highlight w:val="none"/>
        </w:rPr>
      </w:pPr>
    </w:p>
    <w:tbl>
      <w:tblPr>
        <w:tblStyle w:val="21"/>
        <w:tblW w:w="8804"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1605"/>
        <w:gridCol w:w="1680"/>
        <w:gridCol w:w="2214"/>
        <w:gridCol w:w="1977"/>
      </w:tblGrid>
      <w:tr w14:paraId="1A160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28" w:type="dxa"/>
            <w:tcBorders>
              <w:left w:val="single" w:color="000000" w:sz="6" w:space="0"/>
              <w:tl2br w:val="single" w:color="000000" w:sz="4" w:space="0"/>
            </w:tcBorders>
            <w:vAlign w:val="top"/>
          </w:tcPr>
          <w:p w14:paraId="1775B31E">
            <w:pPr>
              <w:spacing w:before="46" w:line="228" w:lineRule="auto"/>
              <w:jc w:val="right"/>
              <w:rPr>
                <w:rFonts w:ascii="宋体" w:hAnsi="宋体" w:eastAsia="宋体" w:cs="宋体"/>
                <w:sz w:val="21"/>
                <w:szCs w:val="21"/>
                <w:highlight w:val="none"/>
              </w:rPr>
            </w:pPr>
            <w:r>
              <w:rPr>
                <w:rFonts w:ascii="宋体" w:hAnsi="宋体" w:eastAsia="宋体" w:cs="宋体"/>
                <w:spacing w:val="-8"/>
                <w:sz w:val="21"/>
                <w:szCs w:val="21"/>
                <w:highlight w:val="none"/>
              </w:rPr>
              <w:t>内容</w:t>
            </w:r>
          </w:p>
          <w:p w14:paraId="046BB70E">
            <w:pPr>
              <w:spacing w:before="24" w:line="227" w:lineRule="auto"/>
              <w:ind w:left="111"/>
              <w:jc w:val="left"/>
              <w:rPr>
                <w:rFonts w:ascii="宋体" w:hAnsi="宋体" w:eastAsia="宋体" w:cs="宋体"/>
                <w:sz w:val="21"/>
                <w:szCs w:val="21"/>
                <w:highlight w:val="none"/>
              </w:rPr>
            </w:pPr>
            <w:r>
              <w:rPr>
                <w:rFonts w:ascii="宋体" w:hAnsi="宋体" w:eastAsia="宋体" w:cs="宋体"/>
                <w:spacing w:val="4"/>
                <w:sz w:val="21"/>
                <w:szCs w:val="21"/>
                <w:highlight w:val="none"/>
              </w:rPr>
              <w:t>要素</w:t>
            </w:r>
          </w:p>
        </w:tc>
        <w:tc>
          <w:tcPr>
            <w:tcW w:w="1605" w:type="dxa"/>
            <w:vAlign w:val="top"/>
          </w:tcPr>
          <w:p w14:paraId="2EC2EBB1">
            <w:pPr>
              <w:spacing w:before="46" w:line="228"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排</w:t>
            </w:r>
            <w:r>
              <w:rPr>
                <w:rFonts w:hint="default" w:ascii="Times New Roman" w:hAnsi="Times New Roman" w:eastAsia="宋体" w:cs="Times New Roman"/>
                <w:spacing w:val="6"/>
                <w:sz w:val="21"/>
                <w:szCs w:val="21"/>
                <w:highlight w:val="none"/>
              </w:rPr>
              <w:t>放口</w:t>
            </w:r>
            <w:r>
              <w:rPr>
                <w:rFonts w:hint="eastAsia" w:ascii="Times New Roman" w:hAnsi="Times New Roman" w:eastAsia="宋体"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编号、</w:t>
            </w:r>
            <w:r>
              <w:rPr>
                <w:rFonts w:hint="default" w:ascii="Times New Roman" w:hAnsi="Times New Roman" w:eastAsia="宋体" w:cs="Times New Roman"/>
                <w:spacing w:val="11"/>
                <w:sz w:val="21"/>
                <w:szCs w:val="21"/>
                <w:highlight w:val="none"/>
              </w:rPr>
              <w:t>名</w:t>
            </w:r>
            <w:r>
              <w:rPr>
                <w:rFonts w:hint="default" w:ascii="Times New Roman" w:hAnsi="Times New Roman" w:eastAsia="宋体" w:cs="Times New Roman"/>
                <w:spacing w:val="6"/>
                <w:sz w:val="21"/>
                <w:szCs w:val="21"/>
                <w:highlight w:val="none"/>
              </w:rPr>
              <w:t>称</w:t>
            </w:r>
            <w:r>
              <w:rPr>
                <w:rFonts w:hint="eastAsia" w:ascii="Times New Roman" w:hAnsi="Times New Roman" w:eastAsia="宋体"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/污染源</w:t>
            </w:r>
          </w:p>
        </w:tc>
        <w:tc>
          <w:tcPr>
            <w:tcW w:w="1680" w:type="dxa"/>
            <w:vAlign w:val="top"/>
          </w:tcPr>
          <w:p w14:paraId="3CDA2131">
            <w:pPr>
              <w:spacing w:before="181" w:line="229"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污染物项</w:t>
            </w:r>
            <w:r>
              <w:rPr>
                <w:rFonts w:hint="default" w:ascii="Times New Roman" w:hAnsi="Times New Roman" w:eastAsia="宋体" w:cs="Times New Roman"/>
                <w:spacing w:val="7"/>
                <w:sz w:val="21"/>
                <w:szCs w:val="21"/>
                <w:highlight w:val="none"/>
              </w:rPr>
              <w:t>目</w:t>
            </w:r>
          </w:p>
        </w:tc>
        <w:tc>
          <w:tcPr>
            <w:tcW w:w="2214" w:type="dxa"/>
            <w:vAlign w:val="top"/>
          </w:tcPr>
          <w:p w14:paraId="1456AEAE">
            <w:pPr>
              <w:spacing w:before="181" w:line="229"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环</w:t>
            </w:r>
            <w:r>
              <w:rPr>
                <w:rFonts w:hint="default" w:ascii="Times New Roman" w:hAnsi="Times New Roman" w:eastAsia="宋体" w:cs="Times New Roman"/>
                <w:spacing w:val="8"/>
                <w:sz w:val="21"/>
                <w:szCs w:val="21"/>
                <w:highlight w:val="none"/>
              </w:rPr>
              <w:t>境保护措施</w:t>
            </w:r>
          </w:p>
        </w:tc>
        <w:tc>
          <w:tcPr>
            <w:tcW w:w="1977" w:type="dxa"/>
            <w:tcBorders>
              <w:right w:val="single" w:color="000000" w:sz="6" w:space="0"/>
            </w:tcBorders>
            <w:vAlign w:val="top"/>
          </w:tcPr>
          <w:p w14:paraId="18DA37C7">
            <w:pPr>
              <w:spacing w:before="181" w:line="228"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执</w:t>
            </w:r>
            <w:r>
              <w:rPr>
                <w:rFonts w:hint="default" w:ascii="Times New Roman" w:hAnsi="Times New Roman" w:eastAsia="宋体" w:cs="Times New Roman"/>
                <w:spacing w:val="7"/>
                <w:sz w:val="21"/>
                <w:szCs w:val="21"/>
                <w:highlight w:val="none"/>
              </w:rPr>
              <w:t>行标准</w:t>
            </w:r>
          </w:p>
        </w:tc>
      </w:tr>
      <w:tr w14:paraId="4C51E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328" w:type="dxa"/>
            <w:vMerge w:val="restart"/>
            <w:tcBorders>
              <w:left w:val="single" w:color="000000" w:sz="6" w:space="0"/>
              <w:bottom w:val="nil"/>
            </w:tcBorders>
            <w:vAlign w:val="center"/>
          </w:tcPr>
          <w:p w14:paraId="68347363">
            <w:pPr>
              <w:spacing w:before="65" w:line="229" w:lineRule="auto"/>
              <w:jc w:val="center"/>
              <w:rPr>
                <w:rFonts w:ascii="宋体" w:hAnsi="宋体" w:eastAsia="宋体" w:cs="宋体"/>
                <w:sz w:val="21"/>
                <w:szCs w:val="21"/>
                <w:highlight w:val="none"/>
              </w:rPr>
            </w:pPr>
            <w:r>
              <w:rPr>
                <w:rFonts w:ascii="宋体" w:hAnsi="宋体" w:eastAsia="宋体" w:cs="宋体"/>
                <w:spacing w:val="9"/>
                <w:sz w:val="21"/>
                <w:szCs w:val="21"/>
                <w:highlight w:val="none"/>
              </w:rPr>
              <w:t>大</w:t>
            </w:r>
            <w:r>
              <w:rPr>
                <w:rFonts w:ascii="宋体" w:hAnsi="宋体" w:eastAsia="宋体" w:cs="宋体"/>
                <w:spacing w:val="6"/>
                <w:sz w:val="21"/>
                <w:szCs w:val="21"/>
                <w:highlight w:val="none"/>
              </w:rPr>
              <w:t>气环境</w:t>
            </w:r>
          </w:p>
        </w:tc>
        <w:tc>
          <w:tcPr>
            <w:tcW w:w="1605" w:type="dxa"/>
            <w:vAlign w:val="center"/>
          </w:tcPr>
          <w:p w14:paraId="74B4D5F7">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DA001</w:t>
            </w:r>
          </w:p>
          <w:p w14:paraId="44A0CD55">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废气排放口</w:t>
            </w:r>
          </w:p>
        </w:tc>
        <w:tc>
          <w:tcPr>
            <w:tcW w:w="1680" w:type="dxa"/>
            <w:vMerge w:val="restart"/>
            <w:vAlign w:val="center"/>
          </w:tcPr>
          <w:p w14:paraId="6FF52529">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w:t>
            </w:r>
          </w:p>
        </w:tc>
        <w:tc>
          <w:tcPr>
            <w:tcW w:w="2214" w:type="dxa"/>
            <w:vAlign w:val="center"/>
          </w:tcPr>
          <w:p w14:paraId="0EFFD6EB">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集气系统+活性炭吸附+排气筒（</w:t>
            </w:r>
            <w:r>
              <w:rPr>
                <w:rFonts w:hint="eastAsia" w:ascii="Times New Roman" w:hAnsi="Times New Roman" w:eastAsia="宋体" w:cs="Times New Roman"/>
                <w:sz w:val="21"/>
                <w:szCs w:val="21"/>
                <w:highlight w:val="none"/>
                <w:lang w:val="en-US" w:eastAsia="zh-CN"/>
              </w:rPr>
              <w:t>D</w:t>
            </w:r>
            <w:r>
              <w:rPr>
                <w:rFonts w:hint="default" w:ascii="Times New Roman" w:hAnsi="Times New Roman" w:cs="Times New Roman"/>
                <w:sz w:val="21"/>
                <w:szCs w:val="21"/>
                <w:highlight w:val="none"/>
              </w:rPr>
              <w:t>A001）</w:t>
            </w:r>
          </w:p>
        </w:tc>
        <w:tc>
          <w:tcPr>
            <w:tcW w:w="1977" w:type="dxa"/>
            <w:vMerge w:val="restart"/>
            <w:tcBorders>
              <w:right w:val="single" w:color="000000" w:sz="6" w:space="0"/>
            </w:tcBorders>
            <w:vAlign w:val="center"/>
          </w:tcPr>
          <w:p w14:paraId="04B670B7">
            <w:pPr>
              <w:widowControl/>
              <w:spacing w:line="340" w:lineRule="exac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2"/>
                <w:highlight w:val="none"/>
              </w:rPr>
              <w:t>《印刷行业挥发性有机物排放标准》</w:t>
            </w:r>
            <w:r>
              <w:rPr>
                <w:rFonts w:hint="eastAsia" w:ascii="Times New Roman" w:hAnsi="Times New Roman" w:eastAsia="宋体" w:cs="Times New Roman"/>
                <w:color w:val="auto"/>
                <w:szCs w:val="22"/>
                <w:highlight w:val="none"/>
                <w:lang w:eastAsia="zh-CN"/>
              </w:rPr>
              <w:t>（</w:t>
            </w:r>
            <w:r>
              <w:rPr>
                <w:rFonts w:hint="default" w:ascii="Times New Roman" w:hAnsi="Times New Roman" w:cs="Times New Roman"/>
                <w:color w:val="auto"/>
                <w:szCs w:val="22"/>
                <w:highlight w:val="none"/>
              </w:rPr>
              <w:t>DB 35/1784-2018</w:t>
            </w:r>
            <w:r>
              <w:rPr>
                <w:rFonts w:hint="eastAsia" w:ascii="Times New Roman" w:hAnsi="Times New Roman" w:eastAsia="宋体" w:cs="Times New Roman"/>
                <w:color w:val="auto"/>
                <w:szCs w:val="22"/>
                <w:highlight w:val="none"/>
                <w:lang w:eastAsia="zh-CN"/>
              </w:rPr>
              <w:t>）</w:t>
            </w:r>
          </w:p>
        </w:tc>
      </w:tr>
      <w:tr w14:paraId="7AA85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1328" w:type="dxa"/>
            <w:vMerge w:val="continue"/>
            <w:tcBorders>
              <w:top w:val="nil"/>
              <w:left w:val="single" w:color="000000" w:sz="6" w:space="0"/>
              <w:bottom w:val="nil"/>
            </w:tcBorders>
            <w:vAlign w:val="center"/>
          </w:tcPr>
          <w:p w14:paraId="5B75182A">
            <w:pPr>
              <w:jc w:val="center"/>
              <w:rPr>
                <w:rFonts w:ascii="Arial"/>
                <w:sz w:val="21"/>
                <w:szCs w:val="21"/>
                <w:highlight w:val="none"/>
              </w:rPr>
            </w:pPr>
          </w:p>
        </w:tc>
        <w:tc>
          <w:tcPr>
            <w:tcW w:w="1605" w:type="dxa"/>
            <w:vAlign w:val="center"/>
          </w:tcPr>
          <w:p w14:paraId="711550A7">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厂界周边</w:t>
            </w:r>
          </w:p>
        </w:tc>
        <w:tc>
          <w:tcPr>
            <w:tcW w:w="1680" w:type="dxa"/>
            <w:vMerge w:val="continue"/>
            <w:vAlign w:val="center"/>
          </w:tcPr>
          <w:p w14:paraId="2AC5B3DC">
            <w:pPr>
              <w:jc w:val="center"/>
              <w:rPr>
                <w:rFonts w:hint="default" w:ascii="Times New Roman" w:hAnsi="Times New Roman" w:cs="Times New Roman"/>
                <w:sz w:val="21"/>
                <w:szCs w:val="21"/>
                <w:highlight w:val="none"/>
              </w:rPr>
            </w:pPr>
          </w:p>
        </w:tc>
        <w:tc>
          <w:tcPr>
            <w:tcW w:w="2214" w:type="dxa"/>
            <w:vMerge w:val="restart"/>
            <w:vAlign w:val="center"/>
          </w:tcPr>
          <w:p w14:paraId="107B5B6C">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车间密闭</w:t>
            </w:r>
            <w:r>
              <w:rPr>
                <w:rFonts w:hint="eastAsia" w:ascii="Times New Roman" w:hAnsi="Times New Roman" w:eastAsia="宋体" w:cs="Times New Roman"/>
                <w:sz w:val="21"/>
                <w:szCs w:val="21"/>
                <w:highlight w:val="none"/>
                <w:lang w:val="en-US" w:eastAsia="zh-CN"/>
              </w:rPr>
              <w:t>，局部有效收集</w:t>
            </w:r>
          </w:p>
        </w:tc>
        <w:tc>
          <w:tcPr>
            <w:tcW w:w="1977" w:type="dxa"/>
            <w:vMerge w:val="continue"/>
            <w:tcBorders>
              <w:right w:val="single" w:color="000000" w:sz="6" w:space="0"/>
            </w:tcBorders>
            <w:vAlign w:val="center"/>
          </w:tcPr>
          <w:p w14:paraId="37AB853E">
            <w:pPr>
              <w:jc w:val="center"/>
              <w:rPr>
                <w:rFonts w:hint="default" w:ascii="Times New Roman" w:hAnsi="Times New Roman" w:cs="Times New Roman"/>
                <w:color w:val="auto"/>
                <w:sz w:val="21"/>
                <w:szCs w:val="21"/>
                <w:highlight w:val="none"/>
              </w:rPr>
            </w:pPr>
          </w:p>
        </w:tc>
      </w:tr>
      <w:tr w14:paraId="0C451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328" w:type="dxa"/>
            <w:vMerge w:val="continue"/>
            <w:tcBorders>
              <w:top w:val="nil"/>
              <w:left w:val="single" w:color="000000" w:sz="6" w:space="0"/>
            </w:tcBorders>
            <w:vAlign w:val="center"/>
          </w:tcPr>
          <w:p w14:paraId="3B8921DF">
            <w:pPr>
              <w:jc w:val="center"/>
              <w:rPr>
                <w:rFonts w:ascii="Arial"/>
                <w:sz w:val="21"/>
                <w:szCs w:val="21"/>
                <w:highlight w:val="none"/>
              </w:rPr>
            </w:pPr>
          </w:p>
        </w:tc>
        <w:tc>
          <w:tcPr>
            <w:tcW w:w="1605" w:type="dxa"/>
            <w:vAlign w:val="center"/>
          </w:tcPr>
          <w:p w14:paraId="0E983690">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厂区内任一点</w:t>
            </w:r>
          </w:p>
        </w:tc>
        <w:tc>
          <w:tcPr>
            <w:tcW w:w="1680" w:type="dxa"/>
            <w:vMerge w:val="continue"/>
            <w:vAlign w:val="center"/>
          </w:tcPr>
          <w:p w14:paraId="235DCEAF">
            <w:pPr>
              <w:jc w:val="center"/>
              <w:rPr>
                <w:rFonts w:hint="default" w:ascii="Times New Roman" w:hAnsi="Times New Roman" w:cs="Times New Roman"/>
                <w:sz w:val="21"/>
                <w:szCs w:val="21"/>
                <w:highlight w:val="none"/>
              </w:rPr>
            </w:pPr>
          </w:p>
        </w:tc>
        <w:tc>
          <w:tcPr>
            <w:tcW w:w="2214" w:type="dxa"/>
            <w:vMerge w:val="continue"/>
            <w:vAlign w:val="center"/>
          </w:tcPr>
          <w:p w14:paraId="15B92109">
            <w:pPr>
              <w:jc w:val="center"/>
              <w:rPr>
                <w:rFonts w:hint="default" w:ascii="Times New Roman" w:hAnsi="Times New Roman" w:eastAsia="宋体" w:cs="Times New Roman"/>
                <w:sz w:val="21"/>
                <w:szCs w:val="21"/>
                <w:highlight w:val="none"/>
                <w:lang w:val="en-US" w:eastAsia="zh-CN"/>
              </w:rPr>
            </w:pPr>
          </w:p>
        </w:tc>
        <w:tc>
          <w:tcPr>
            <w:tcW w:w="1977" w:type="dxa"/>
            <w:tcBorders>
              <w:right w:val="single" w:color="000000" w:sz="6" w:space="0"/>
            </w:tcBorders>
            <w:vAlign w:val="center"/>
          </w:tcPr>
          <w:p w14:paraId="030377C0">
            <w:pPr>
              <w:spacing w:line="3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《挥发性有机物无组织排放控制标准》</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GB 37822-2019</w:t>
            </w:r>
            <w:r>
              <w:rPr>
                <w:rFonts w:hint="eastAsia" w:ascii="Times New Roman" w:hAnsi="Times New Roman" w:eastAsia="宋体" w:cs="Times New Roman"/>
                <w:color w:val="auto"/>
                <w:highlight w:val="none"/>
                <w:lang w:eastAsia="zh-CN"/>
              </w:rPr>
              <w:t>）</w:t>
            </w:r>
            <w:r>
              <w:rPr>
                <w:rFonts w:hint="default" w:ascii="Times New Roman" w:hAnsi="Times New Roman" w:cs="Times New Roman"/>
                <w:color w:val="auto"/>
                <w:highlight w:val="none"/>
              </w:rPr>
              <w:t>附录A表A.1（从严）</w:t>
            </w:r>
          </w:p>
        </w:tc>
      </w:tr>
      <w:tr w14:paraId="55E20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7" w:hRule="atLeast"/>
        </w:trPr>
        <w:tc>
          <w:tcPr>
            <w:tcW w:w="1328" w:type="dxa"/>
            <w:vMerge w:val="restart"/>
            <w:tcBorders>
              <w:left w:val="single" w:color="000000" w:sz="6" w:space="0"/>
              <w:bottom w:val="single" w:color="000000" w:sz="2" w:space="0"/>
            </w:tcBorders>
            <w:vAlign w:val="center"/>
          </w:tcPr>
          <w:p w14:paraId="4B819079">
            <w:pPr>
              <w:spacing w:before="65" w:line="228" w:lineRule="auto"/>
              <w:jc w:val="center"/>
              <w:rPr>
                <w:rFonts w:ascii="宋体" w:hAnsi="宋体" w:eastAsia="宋体" w:cs="宋体"/>
                <w:sz w:val="21"/>
                <w:szCs w:val="21"/>
                <w:highlight w:val="none"/>
              </w:rPr>
            </w:pPr>
            <w:r>
              <w:rPr>
                <w:rFonts w:ascii="宋体" w:hAnsi="宋体" w:eastAsia="宋体" w:cs="宋体"/>
                <w:spacing w:val="8"/>
                <w:sz w:val="21"/>
                <w:szCs w:val="21"/>
                <w:highlight w:val="none"/>
              </w:rPr>
              <w:t>地表水环境</w:t>
            </w:r>
          </w:p>
        </w:tc>
        <w:tc>
          <w:tcPr>
            <w:tcW w:w="1605" w:type="dxa"/>
            <w:vMerge w:val="restart"/>
            <w:vAlign w:val="center"/>
          </w:tcPr>
          <w:p w14:paraId="5417F6B9">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DW001生活污水排放口</w:t>
            </w:r>
          </w:p>
        </w:tc>
        <w:tc>
          <w:tcPr>
            <w:tcW w:w="1680" w:type="dxa"/>
            <w:vMerge w:val="restart"/>
            <w:vAlign w:val="center"/>
          </w:tcPr>
          <w:p w14:paraId="5C5999C0">
            <w:pPr>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pH</w:t>
            </w:r>
            <w:r>
              <w:rPr>
                <w:rFonts w:hint="default"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eastAsia="zh-CN"/>
              </w:rPr>
              <w:t>COD</w:t>
            </w:r>
            <w:r>
              <w:rPr>
                <w:rFonts w:hint="default"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BOD</w:t>
            </w:r>
            <w:r>
              <w:rPr>
                <w:rFonts w:hint="default" w:ascii="Times New Roman" w:hAnsi="Times New Roman" w:cs="Times New Roman"/>
                <w:sz w:val="21"/>
                <w:szCs w:val="21"/>
                <w:highlight w:val="none"/>
                <w:vertAlign w:val="subscript"/>
              </w:rPr>
              <w:t>5</w:t>
            </w:r>
            <w:r>
              <w:rPr>
                <w:rFonts w:hint="default"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SS</w:t>
            </w:r>
            <w:r>
              <w:rPr>
                <w:rFonts w:hint="default"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-N</w:t>
            </w:r>
          </w:p>
        </w:tc>
        <w:tc>
          <w:tcPr>
            <w:tcW w:w="2214" w:type="dxa"/>
            <w:vMerge w:val="restart"/>
            <w:vAlign w:val="center"/>
          </w:tcPr>
          <w:p w14:paraId="1B9BC548">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通过化粪池处理后</w:t>
            </w:r>
            <w:r>
              <w:rPr>
                <w:rFonts w:hint="eastAsia" w:ascii="Times New Roman" w:hAnsi="Times New Roman" w:eastAsia="宋体" w:cs="Times New Roman"/>
                <w:sz w:val="21"/>
                <w:szCs w:val="21"/>
                <w:highlight w:val="none"/>
                <w:lang w:val="en-US" w:eastAsia="zh-CN"/>
              </w:rPr>
              <w:t>由</w:t>
            </w:r>
            <w:r>
              <w:rPr>
                <w:rFonts w:hint="default" w:ascii="Times New Roman" w:hAnsi="Times New Roman" w:cs="Times New Roman"/>
                <w:sz w:val="21"/>
                <w:szCs w:val="21"/>
                <w:highlight w:val="none"/>
              </w:rPr>
              <w:t>市政污水管网纳入永春县蓬壶镇污水处理厂集中处理</w:t>
            </w:r>
          </w:p>
        </w:tc>
        <w:tc>
          <w:tcPr>
            <w:tcW w:w="1977" w:type="dxa"/>
            <w:tcBorders>
              <w:right w:val="single" w:color="000000" w:sz="6" w:space="0"/>
            </w:tcBorders>
            <w:vAlign w:val="center"/>
          </w:tcPr>
          <w:p w14:paraId="723BEFE6">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《污水综合排放标准》</w:t>
            </w:r>
            <w:r>
              <w:rPr>
                <w:rFonts w:hint="eastAsia" w:ascii="Times New Roman" w:hAnsi="Times New Roman" w:eastAsia="宋体" w:cs="Times New Roman"/>
                <w:sz w:val="21"/>
                <w:szCs w:val="21"/>
                <w:highlight w:val="none"/>
                <w:lang w:eastAsia="zh-CN"/>
              </w:rPr>
              <w:t>（GB 8978-1996）</w:t>
            </w:r>
            <w:r>
              <w:rPr>
                <w:rFonts w:hint="default" w:ascii="Times New Roman" w:hAnsi="Times New Roman" w:cs="Times New Roman"/>
                <w:sz w:val="21"/>
                <w:szCs w:val="21"/>
                <w:highlight w:val="none"/>
              </w:rPr>
              <w:t>表4三级</w:t>
            </w:r>
            <w:r>
              <w:rPr>
                <w:rFonts w:hint="eastAsia" w:ascii="Times New Roman" w:hAnsi="Times New Roman" w:eastAsia="宋体" w:cs="Times New Roman"/>
                <w:sz w:val="21"/>
                <w:szCs w:val="21"/>
                <w:highlight w:val="none"/>
                <w:lang w:val="en-US" w:eastAsia="zh-CN"/>
              </w:rPr>
              <w:t>标准</w:t>
            </w:r>
            <w:r>
              <w:rPr>
                <w:rFonts w:hint="default" w:ascii="Times New Roman" w:hAnsi="Times New Roman" w:cs="Times New Roman"/>
                <w:sz w:val="21"/>
                <w:szCs w:val="21"/>
                <w:highlight w:val="none"/>
              </w:rPr>
              <w:t>；pH6~9、</w:t>
            </w:r>
            <w:r>
              <w:rPr>
                <w:rFonts w:hint="eastAsia" w:ascii="Times New Roman" w:hAnsi="Times New Roman" w:eastAsia="宋体" w:cs="Times New Roman"/>
                <w:sz w:val="21"/>
                <w:szCs w:val="21"/>
                <w:highlight w:val="none"/>
                <w:lang w:eastAsia="zh-CN"/>
              </w:rPr>
              <w:t>COD</w:t>
            </w:r>
            <w:r>
              <w:rPr>
                <w:rFonts w:hint="default" w:ascii="Times New Roman" w:hAnsi="Times New Roman" w:cs="Times New Roman"/>
                <w:sz w:val="21"/>
                <w:szCs w:val="21"/>
                <w:highlight w:val="none"/>
              </w:rPr>
              <w:t>≤500mg/L、BOD</w:t>
            </w:r>
            <w:r>
              <w:rPr>
                <w:rFonts w:hint="default" w:ascii="Times New Roman" w:hAnsi="Times New Roman" w:cs="Times New Roman"/>
                <w:sz w:val="21"/>
                <w:szCs w:val="21"/>
                <w:highlight w:val="none"/>
                <w:vertAlign w:val="subscript"/>
              </w:rPr>
              <w:t>5</w:t>
            </w:r>
            <w:r>
              <w:rPr>
                <w:rFonts w:hint="default" w:ascii="Times New Roman" w:hAnsi="Times New Roman" w:cs="Times New Roman"/>
                <w:sz w:val="21"/>
                <w:szCs w:val="21"/>
                <w:highlight w:val="none"/>
              </w:rPr>
              <w:t>≤300mg/L、SS≤400mg/L</w:t>
            </w:r>
          </w:p>
        </w:tc>
      </w:tr>
      <w:tr w14:paraId="1252A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328" w:type="dxa"/>
            <w:vMerge w:val="continue"/>
            <w:tcBorders>
              <w:top w:val="single" w:color="000000" w:sz="2" w:space="0"/>
              <w:left w:val="single" w:color="000000" w:sz="6" w:space="0"/>
              <w:bottom w:val="single" w:color="000000" w:sz="2" w:space="0"/>
            </w:tcBorders>
            <w:vAlign w:val="center"/>
          </w:tcPr>
          <w:p w14:paraId="2F0924E6">
            <w:pPr>
              <w:jc w:val="center"/>
              <w:rPr>
                <w:sz w:val="21"/>
                <w:szCs w:val="21"/>
                <w:highlight w:val="none"/>
              </w:rPr>
            </w:pPr>
          </w:p>
        </w:tc>
        <w:tc>
          <w:tcPr>
            <w:tcW w:w="1605" w:type="dxa"/>
            <w:vMerge w:val="continue"/>
            <w:vAlign w:val="center"/>
          </w:tcPr>
          <w:p w14:paraId="67C78668">
            <w:pPr>
              <w:jc w:val="center"/>
              <w:rPr>
                <w:rFonts w:hint="default" w:ascii="Times New Roman" w:hAnsi="Times New Roman" w:cs="Times New Roman"/>
                <w:sz w:val="21"/>
                <w:szCs w:val="21"/>
                <w:highlight w:val="none"/>
              </w:rPr>
            </w:pPr>
          </w:p>
        </w:tc>
        <w:tc>
          <w:tcPr>
            <w:tcW w:w="1680" w:type="dxa"/>
            <w:vMerge w:val="continue"/>
            <w:vAlign w:val="center"/>
          </w:tcPr>
          <w:p w14:paraId="16937B64">
            <w:pPr>
              <w:jc w:val="center"/>
              <w:rPr>
                <w:rFonts w:hint="default" w:ascii="Times New Roman" w:hAnsi="Times New Roman" w:cs="Times New Roman"/>
                <w:sz w:val="21"/>
                <w:szCs w:val="21"/>
                <w:highlight w:val="none"/>
              </w:rPr>
            </w:pPr>
          </w:p>
        </w:tc>
        <w:tc>
          <w:tcPr>
            <w:tcW w:w="2214" w:type="dxa"/>
            <w:vMerge w:val="continue"/>
            <w:vAlign w:val="center"/>
          </w:tcPr>
          <w:p w14:paraId="2AD6BC85">
            <w:pPr>
              <w:jc w:val="center"/>
              <w:rPr>
                <w:rFonts w:hint="default" w:ascii="Times New Roman" w:hAnsi="Times New Roman" w:cs="Times New Roman"/>
                <w:sz w:val="21"/>
                <w:szCs w:val="21"/>
                <w:highlight w:val="none"/>
              </w:rPr>
            </w:pPr>
          </w:p>
        </w:tc>
        <w:tc>
          <w:tcPr>
            <w:tcW w:w="1977" w:type="dxa"/>
            <w:tcBorders>
              <w:right w:val="single" w:color="000000" w:sz="6" w:space="0"/>
            </w:tcBorders>
            <w:vAlign w:val="center"/>
          </w:tcPr>
          <w:p w14:paraId="0944718A">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《污水排入城镇下水道水质标准》</w:t>
            </w:r>
            <w:r>
              <w:rPr>
                <w:rFonts w:hint="eastAsia" w:ascii="Times New Roman" w:hAnsi="Times New Roman" w:eastAsia="宋体" w:cs="Times New Roman"/>
                <w:sz w:val="21"/>
                <w:szCs w:val="21"/>
                <w:highlight w:val="none"/>
                <w:lang w:eastAsia="zh-CN"/>
              </w:rPr>
              <w:t>（GB/T 31962-2015）</w:t>
            </w:r>
            <w:r>
              <w:rPr>
                <w:rFonts w:hint="default" w:ascii="Times New Roman" w:hAnsi="Times New Roman" w:cs="Times New Roman"/>
                <w:sz w:val="21"/>
                <w:szCs w:val="21"/>
                <w:highlight w:val="none"/>
              </w:rPr>
              <w:t>表1B等级；NH</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-N≤45mg/L</w:t>
            </w:r>
          </w:p>
        </w:tc>
      </w:tr>
      <w:tr w14:paraId="08FF9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8" w:type="dxa"/>
            <w:vMerge w:val="restart"/>
            <w:tcBorders>
              <w:top w:val="single" w:color="000000" w:sz="2" w:space="0"/>
              <w:left w:val="single" w:color="000000" w:sz="6" w:space="0"/>
            </w:tcBorders>
            <w:vAlign w:val="center"/>
          </w:tcPr>
          <w:p w14:paraId="7927B82A">
            <w:pPr>
              <w:spacing w:before="65" w:line="229" w:lineRule="auto"/>
              <w:jc w:val="center"/>
              <w:rPr>
                <w:rFonts w:ascii="宋体" w:hAnsi="宋体" w:eastAsia="宋体" w:cs="宋体"/>
                <w:sz w:val="21"/>
                <w:szCs w:val="21"/>
                <w:highlight w:val="none"/>
              </w:rPr>
            </w:pPr>
            <w:r>
              <w:rPr>
                <w:rFonts w:ascii="宋体" w:hAnsi="宋体" w:eastAsia="宋体" w:cs="宋体"/>
                <w:spacing w:val="6"/>
                <w:sz w:val="21"/>
                <w:szCs w:val="21"/>
                <w:highlight w:val="none"/>
              </w:rPr>
              <w:t>声</w:t>
            </w:r>
            <w:r>
              <w:rPr>
                <w:rFonts w:ascii="宋体" w:hAnsi="宋体" w:eastAsia="宋体" w:cs="宋体"/>
                <w:spacing w:val="5"/>
                <w:sz w:val="21"/>
                <w:szCs w:val="21"/>
                <w:highlight w:val="none"/>
              </w:rPr>
              <w:t>环境</w:t>
            </w:r>
          </w:p>
        </w:tc>
        <w:tc>
          <w:tcPr>
            <w:tcW w:w="1605" w:type="dxa"/>
            <w:tcBorders>
              <w:bottom w:val="single" w:color="000000" w:sz="2" w:space="0"/>
            </w:tcBorders>
            <w:vAlign w:val="center"/>
          </w:tcPr>
          <w:p w14:paraId="52CE024D">
            <w:pPr>
              <w:widowControl w:val="0"/>
              <w:kinsoku/>
              <w:autoSpaceDE/>
              <w:autoSpaceDN/>
              <w:adjustRightInd/>
              <w:snapToGrid/>
              <w:spacing w:line="340" w:lineRule="exact"/>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高频机、</w:t>
            </w:r>
            <w:r>
              <w:rPr>
                <w:rFonts w:hint="default" w:ascii="Times New Roman" w:hAnsi="Times New Roman" w:eastAsia="宋体" w:cs="Times New Roman"/>
                <w:spacing w:val="-3"/>
                <w:sz w:val="21"/>
                <w:szCs w:val="21"/>
                <w:highlight w:val="none"/>
                <w:lang w:val="en-US" w:eastAsia="zh-CN"/>
              </w:rPr>
              <w:t>围带床机</w:t>
            </w:r>
            <w:r>
              <w:rPr>
                <w:rFonts w:hint="default" w:ascii="Times New Roman" w:hAnsi="Times New Roman" w:eastAsia="宋体" w:cs="Times New Roman"/>
                <w:spacing w:val="-3"/>
                <w:sz w:val="21"/>
                <w:szCs w:val="21"/>
                <w:highlight w:val="none"/>
              </w:rPr>
              <w:t>等生产设备</w:t>
            </w:r>
          </w:p>
        </w:tc>
        <w:tc>
          <w:tcPr>
            <w:tcW w:w="1680" w:type="dxa"/>
            <w:tcBorders>
              <w:bottom w:val="single" w:color="000000" w:sz="2" w:space="0"/>
            </w:tcBorders>
            <w:vAlign w:val="center"/>
          </w:tcPr>
          <w:p w14:paraId="7611D2B1">
            <w:pPr>
              <w:spacing w:before="78" w:line="22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噪声</w:t>
            </w:r>
          </w:p>
        </w:tc>
        <w:tc>
          <w:tcPr>
            <w:tcW w:w="2214" w:type="dxa"/>
            <w:tcBorders>
              <w:bottom w:val="single" w:color="000000" w:sz="2" w:space="0"/>
            </w:tcBorders>
            <w:vAlign w:val="center"/>
          </w:tcPr>
          <w:p w14:paraId="43277D53">
            <w:pPr>
              <w:spacing w:before="49" w:line="219"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车间隔声、基</w:t>
            </w:r>
            <w:r>
              <w:rPr>
                <w:rFonts w:hint="default" w:ascii="Times New Roman" w:hAnsi="Times New Roman" w:eastAsia="宋体" w:cs="Times New Roman"/>
                <w:spacing w:val="-2"/>
                <w:sz w:val="21"/>
                <w:szCs w:val="21"/>
                <w:highlight w:val="none"/>
              </w:rPr>
              <w:t>础减振、距离</w:t>
            </w:r>
            <w:r>
              <w:rPr>
                <w:rFonts w:hint="default" w:ascii="Times New Roman" w:hAnsi="Times New Roman" w:eastAsia="宋体" w:cs="Times New Roman"/>
                <w:spacing w:val="-6"/>
                <w:sz w:val="21"/>
                <w:szCs w:val="21"/>
                <w:highlight w:val="none"/>
              </w:rPr>
              <w:t>衰减</w:t>
            </w:r>
          </w:p>
        </w:tc>
        <w:tc>
          <w:tcPr>
            <w:tcW w:w="1977" w:type="dxa"/>
            <w:vMerge w:val="restart"/>
            <w:tcBorders>
              <w:right w:val="single" w:color="000000" w:sz="6" w:space="0"/>
            </w:tcBorders>
            <w:vAlign w:val="center"/>
          </w:tcPr>
          <w:p w14:paraId="70113744">
            <w:pPr>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满足《工业企业厂界环境噪声排放标准》</w:t>
            </w:r>
            <w:r>
              <w:rPr>
                <w:rFonts w:hint="eastAsia" w:ascii="Times New Roman" w:hAnsi="Times New Roman" w:eastAsia="宋体" w:cs="Times New Roman"/>
                <w:sz w:val="21"/>
                <w:szCs w:val="21"/>
                <w:highlight w:val="none"/>
                <w:lang w:eastAsia="zh-CN"/>
              </w:rPr>
              <w:t>（GB 12348-2008）</w:t>
            </w:r>
            <w:r>
              <w:rPr>
                <w:rFonts w:hint="default" w:ascii="Times New Roman" w:hAnsi="Times New Roman" w:eastAsia="宋体" w:cs="Times New Roman"/>
                <w:sz w:val="21"/>
                <w:szCs w:val="21"/>
                <w:highlight w:val="none"/>
              </w:rPr>
              <w:t>中3类标准</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昼间≤65dB</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A</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，夜间昼间≤55dB</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A</w:t>
            </w:r>
            <w:r>
              <w:rPr>
                <w:rFonts w:hint="eastAsia" w:ascii="Times New Roman" w:hAnsi="Times New Roman" w:eastAsia="宋体" w:cs="Times New Roman"/>
                <w:sz w:val="21"/>
                <w:szCs w:val="21"/>
                <w:highlight w:val="none"/>
                <w:lang w:eastAsia="zh-CN"/>
              </w:rPr>
              <w:t>））</w:t>
            </w:r>
          </w:p>
        </w:tc>
      </w:tr>
      <w:tr w14:paraId="50F70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328" w:type="dxa"/>
            <w:vMerge w:val="continue"/>
            <w:tcBorders>
              <w:left w:val="single" w:color="000000" w:sz="6" w:space="0"/>
              <w:bottom w:val="single" w:color="000000" w:sz="2" w:space="0"/>
            </w:tcBorders>
            <w:vAlign w:val="center"/>
          </w:tcPr>
          <w:p w14:paraId="5CB427D0">
            <w:pPr>
              <w:jc w:val="center"/>
              <w:rPr>
                <w:sz w:val="21"/>
                <w:szCs w:val="21"/>
                <w:highlight w:val="none"/>
              </w:rPr>
            </w:pPr>
          </w:p>
        </w:tc>
        <w:tc>
          <w:tcPr>
            <w:tcW w:w="1605" w:type="dxa"/>
            <w:tcBorders>
              <w:bottom w:val="single" w:color="000000" w:sz="2" w:space="0"/>
            </w:tcBorders>
            <w:vAlign w:val="center"/>
          </w:tcPr>
          <w:p w14:paraId="52FABA9B">
            <w:pPr>
              <w:spacing w:before="119" w:line="228" w:lineRule="auto"/>
              <w:ind w:left="281" w:leftChars="0" w:right="143" w:rightChars="0" w:hanging="132"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废气处理设施</w:t>
            </w:r>
            <w:r>
              <w:rPr>
                <w:rFonts w:hint="default" w:ascii="Times New Roman" w:hAnsi="Times New Roman" w:eastAsia="宋体" w:cs="Times New Roman"/>
                <w:spacing w:val="-5"/>
                <w:sz w:val="21"/>
                <w:szCs w:val="21"/>
                <w:highlight w:val="none"/>
              </w:rPr>
              <w:t>（含风机）</w:t>
            </w:r>
          </w:p>
        </w:tc>
        <w:tc>
          <w:tcPr>
            <w:tcW w:w="1680" w:type="dxa"/>
            <w:tcBorders>
              <w:bottom w:val="single" w:color="000000" w:sz="2" w:space="0"/>
            </w:tcBorders>
            <w:vAlign w:val="center"/>
          </w:tcPr>
          <w:p w14:paraId="3AD5DCB7">
            <w:pPr>
              <w:spacing w:before="274" w:line="22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1"/>
                <w:sz w:val="21"/>
                <w:szCs w:val="21"/>
                <w:highlight w:val="none"/>
              </w:rPr>
              <w:t>噪声</w:t>
            </w:r>
          </w:p>
        </w:tc>
        <w:tc>
          <w:tcPr>
            <w:tcW w:w="2214" w:type="dxa"/>
            <w:tcBorders>
              <w:bottom w:val="single" w:color="000000" w:sz="2" w:space="0"/>
            </w:tcBorders>
            <w:vAlign w:val="center"/>
          </w:tcPr>
          <w:p w14:paraId="66CC4769">
            <w:pPr>
              <w:spacing w:before="118" w:line="229" w:lineRule="auto"/>
              <w:ind w:right="194" w:right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基础减振、距</w:t>
            </w:r>
            <w:r>
              <w:rPr>
                <w:rFonts w:hint="default" w:ascii="Times New Roman" w:hAnsi="Times New Roman" w:eastAsia="宋体" w:cs="Times New Roman"/>
                <w:spacing w:val="-5"/>
                <w:sz w:val="21"/>
                <w:szCs w:val="21"/>
                <w:highlight w:val="none"/>
              </w:rPr>
              <w:t>离衰减</w:t>
            </w:r>
          </w:p>
        </w:tc>
        <w:tc>
          <w:tcPr>
            <w:tcW w:w="1977" w:type="dxa"/>
            <w:vMerge w:val="continue"/>
            <w:tcBorders>
              <w:bottom w:val="single" w:color="000000" w:sz="2" w:space="0"/>
              <w:right w:val="single" w:color="000000" w:sz="6" w:space="0"/>
            </w:tcBorders>
            <w:vAlign w:val="center"/>
          </w:tcPr>
          <w:p w14:paraId="4F9ACEDF">
            <w:pPr>
              <w:rPr>
                <w:rFonts w:hint="default" w:ascii="Times New Roman" w:hAnsi="Times New Roman" w:eastAsia="宋体" w:cs="Times New Roman"/>
                <w:sz w:val="21"/>
                <w:szCs w:val="21"/>
                <w:highlight w:val="none"/>
              </w:rPr>
            </w:pPr>
          </w:p>
        </w:tc>
      </w:tr>
      <w:tr w14:paraId="27366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8" w:type="dxa"/>
            <w:tcBorders>
              <w:top w:val="single" w:color="000000" w:sz="2" w:space="0"/>
              <w:left w:val="single" w:color="000000" w:sz="6" w:space="0"/>
              <w:bottom w:val="single" w:color="000000" w:sz="2" w:space="0"/>
            </w:tcBorders>
            <w:vAlign w:val="center"/>
          </w:tcPr>
          <w:p w14:paraId="7DE0CABC">
            <w:pPr>
              <w:spacing w:before="65" w:line="228" w:lineRule="auto"/>
              <w:jc w:val="center"/>
              <w:rPr>
                <w:rFonts w:ascii="宋体" w:hAnsi="宋体" w:eastAsia="宋体" w:cs="宋体"/>
                <w:sz w:val="21"/>
                <w:szCs w:val="21"/>
                <w:highlight w:val="none"/>
              </w:rPr>
            </w:pPr>
            <w:r>
              <w:rPr>
                <w:rFonts w:ascii="宋体" w:hAnsi="宋体" w:eastAsia="宋体" w:cs="宋体"/>
                <w:spacing w:val="2"/>
                <w:sz w:val="21"/>
                <w:szCs w:val="21"/>
                <w:highlight w:val="none"/>
              </w:rPr>
              <w:t>电</w:t>
            </w:r>
            <w:r>
              <w:rPr>
                <w:rFonts w:ascii="宋体" w:hAnsi="宋体" w:eastAsia="宋体" w:cs="宋体"/>
                <w:spacing w:val="1"/>
                <w:sz w:val="21"/>
                <w:szCs w:val="21"/>
                <w:highlight w:val="none"/>
              </w:rPr>
              <w:t>磁辐射</w:t>
            </w:r>
          </w:p>
        </w:tc>
        <w:tc>
          <w:tcPr>
            <w:tcW w:w="1605" w:type="dxa"/>
            <w:tcBorders>
              <w:top w:val="single" w:color="000000" w:sz="2" w:space="0"/>
              <w:bottom w:val="single" w:color="000000" w:sz="2" w:space="0"/>
            </w:tcBorders>
            <w:vAlign w:val="center"/>
          </w:tcPr>
          <w:p w14:paraId="5C217186">
            <w:pPr>
              <w:adjustRightInd w:val="0"/>
              <w:snapToGrid w:val="0"/>
              <w:spacing w:line="3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GB"/>
              </w:rPr>
              <w:t>/</w:t>
            </w:r>
          </w:p>
        </w:tc>
        <w:tc>
          <w:tcPr>
            <w:tcW w:w="1680" w:type="dxa"/>
            <w:tcBorders>
              <w:top w:val="single" w:color="000000" w:sz="2" w:space="0"/>
              <w:bottom w:val="single" w:color="000000" w:sz="2" w:space="0"/>
            </w:tcBorders>
            <w:vAlign w:val="center"/>
          </w:tcPr>
          <w:p w14:paraId="05746360">
            <w:pPr>
              <w:adjustRightInd w:val="0"/>
              <w:snapToGrid w:val="0"/>
              <w:spacing w:line="3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GB"/>
              </w:rPr>
              <w:t>/</w:t>
            </w:r>
          </w:p>
        </w:tc>
        <w:tc>
          <w:tcPr>
            <w:tcW w:w="2214" w:type="dxa"/>
            <w:tcBorders>
              <w:top w:val="single" w:color="000000" w:sz="2" w:space="0"/>
              <w:bottom w:val="single" w:color="000000" w:sz="2" w:space="0"/>
            </w:tcBorders>
            <w:vAlign w:val="center"/>
          </w:tcPr>
          <w:p w14:paraId="2414341C">
            <w:pPr>
              <w:adjustRightInd w:val="0"/>
              <w:snapToGrid w:val="0"/>
              <w:spacing w:line="3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GB"/>
              </w:rPr>
              <w:t>/</w:t>
            </w:r>
          </w:p>
        </w:tc>
        <w:tc>
          <w:tcPr>
            <w:tcW w:w="1977" w:type="dxa"/>
            <w:tcBorders>
              <w:top w:val="single" w:color="000000" w:sz="2" w:space="0"/>
              <w:bottom w:val="single" w:color="000000" w:sz="2" w:space="0"/>
              <w:right w:val="single" w:color="000000" w:sz="6" w:space="0"/>
            </w:tcBorders>
            <w:vAlign w:val="center"/>
          </w:tcPr>
          <w:p w14:paraId="7A415293">
            <w:pPr>
              <w:adjustRightInd w:val="0"/>
              <w:snapToGrid w:val="0"/>
              <w:spacing w:line="3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GB"/>
              </w:rPr>
              <w:t>/</w:t>
            </w:r>
          </w:p>
        </w:tc>
      </w:tr>
      <w:tr w14:paraId="111B4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1328" w:type="dxa"/>
            <w:tcBorders>
              <w:top w:val="single" w:color="000000" w:sz="2" w:space="0"/>
              <w:left w:val="single" w:color="000000" w:sz="6" w:space="0"/>
            </w:tcBorders>
            <w:vAlign w:val="center"/>
          </w:tcPr>
          <w:p w14:paraId="474B2416">
            <w:pPr>
              <w:spacing w:line="465" w:lineRule="auto"/>
              <w:jc w:val="center"/>
              <w:rPr>
                <w:rFonts w:ascii="Arial"/>
                <w:sz w:val="21"/>
                <w:highlight w:val="none"/>
              </w:rPr>
            </w:pPr>
          </w:p>
          <w:p w14:paraId="20AEF153">
            <w:pPr>
              <w:spacing w:before="65" w:line="229" w:lineRule="auto"/>
              <w:jc w:val="center"/>
              <w:rPr>
                <w:rFonts w:ascii="宋体" w:hAnsi="宋体" w:eastAsia="宋体" w:cs="宋体"/>
                <w:sz w:val="20"/>
                <w:szCs w:val="20"/>
                <w:highlight w:val="none"/>
              </w:rPr>
            </w:pPr>
            <w:r>
              <w:rPr>
                <w:rFonts w:ascii="宋体" w:hAnsi="宋体" w:eastAsia="宋体" w:cs="宋体"/>
                <w:spacing w:val="3"/>
                <w:sz w:val="20"/>
                <w:szCs w:val="20"/>
                <w:highlight w:val="none"/>
              </w:rPr>
              <w:t>固体废</w:t>
            </w:r>
            <w:r>
              <w:rPr>
                <w:rFonts w:ascii="宋体" w:hAnsi="宋体" w:eastAsia="宋体" w:cs="宋体"/>
                <w:spacing w:val="2"/>
                <w:sz w:val="20"/>
                <w:szCs w:val="20"/>
                <w:highlight w:val="none"/>
              </w:rPr>
              <w:t>物</w:t>
            </w:r>
          </w:p>
        </w:tc>
        <w:tc>
          <w:tcPr>
            <w:tcW w:w="7476" w:type="dxa"/>
            <w:gridSpan w:val="4"/>
            <w:tcBorders>
              <w:top w:val="single" w:color="000000" w:sz="2" w:space="0"/>
              <w:right w:val="single" w:color="000000" w:sz="6" w:space="0"/>
            </w:tcBorders>
            <w:vAlign w:val="top"/>
          </w:tcPr>
          <w:p w14:paraId="2FEA10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①一般工业固废：拆包过程产生的废包装材料、裁切工序产生的边角料，检验工序产生的不合格品，经收集后委托有主体资格和技术能力的单位处置；</w:t>
            </w:r>
          </w:p>
          <w:p w14:paraId="7132A3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②危险废物：生产使用的油墨</w:t>
            </w:r>
            <w:r>
              <w:rPr>
                <w:rFonts w:hint="default" w:ascii="Times New Roman" w:hAnsi="Times New Roman" w:eastAsia="宋体" w:cs="Times New Roman"/>
                <w:sz w:val="24"/>
                <w:szCs w:val="24"/>
                <w:highlight w:val="none"/>
                <w:lang w:val="en-US" w:eastAsia="zh-CN"/>
              </w:rPr>
              <w:t>所</w:t>
            </w:r>
            <w:r>
              <w:rPr>
                <w:rFonts w:hint="default" w:ascii="Times New Roman" w:hAnsi="Times New Roman" w:eastAsia="宋体" w:cs="Times New Roman"/>
                <w:sz w:val="24"/>
                <w:szCs w:val="24"/>
                <w:highlight w:val="none"/>
              </w:rPr>
              <w:t>产生的废原料空桶</w:t>
            </w:r>
            <w:r>
              <w:rPr>
                <w:rFonts w:hint="default" w:ascii="Times New Roman" w:hAnsi="Times New Roman" w:eastAsia="宋体" w:cs="Times New Roman"/>
                <w:sz w:val="24"/>
                <w:szCs w:val="24"/>
                <w:highlight w:val="none"/>
                <w:lang w:val="en-US" w:eastAsia="zh-CN"/>
              </w:rPr>
              <w:t>和</w:t>
            </w:r>
            <w:r>
              <w:rPr>
                <w:rFonts w:hint="default" w:ascii="Times New Roman" w:hAnsi="Times New Roman" w:eastAsia="宋体" w:cs="Times New Roman"/>
                <w:sz w:val="24"/>
                <w:szCs w:val="24"/>
                <w:highlight w:val="none"/>
              </w:rPr>
              <w:t>废气处理设施中更换出的废活性炭，暂存于危废储存间，并委托有资质的单位处理；</w:t>
            </w:r>
          </w:p>
          <w:p w14:paraId="486D57C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③生活垃圾</w:t>
            </w:r>
            <w:r>
              <w:rPr>
                <w:rFonts w:hint="default" w:ascii="Times New Roman" w:hAnsi="Times New Roman" w:eastAsia="宋体" w:cs="Times New Roman"/>
                <w:sz w:val="24"/>
                <w:szCs w:val="24"/>
                <w:highlight w:val="none"/>
                <w:lang w:val="en-US" w:eastAsia="zh-CN"/>
              </w:rPr>
              <w:t>经</w:t>
            </w:r>
            <w:r>
              <w:rPr>
                <w:rFonts w:hint="default" w:ascii="Times New Roman" w:hAnsi="Times New Roman" w:eastAsia="宋体" w:cs="Times New Roman"/>
                <w:sz w:val="24"/>
                <w:szCs w:val="24"/>
                <w:highlight w:val="none"/>
              </w:rPr>
              <w:t>分类收集后由环卫部门统一运送至垃圾填埋场进行无害化处理。</w:t>
            </w:r>
          </w:p>
        </w:tc>
      </w:tr>
      <w:tr w14:paraId="5DE52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1328" w:type="dxa"/>
            <w:tcBorders>
              <w:left w:val="single" w:color="000000" w:sz="6" w:space="0"/>
            </w:tcBorders>
            <w:vAlign w:val="center"/>
          </w:tcPr>
          <w:p w14:paraId="5AB528F5">
            <w:pPr>
              <w:spacing w:before="65" w:line="265" w:lineRule="auto"/>
              <w:ind w:right="262"/>
              <w:jc w:val="both"/>
              <w:rPr>
                <w:rFonts w:ascii="宋体" w:hAnsi="宋体" w:eastAsia="宋体" w:cs="宋体"/>
                <w:sz w:val="20"/>
                <w:szCs w:val="20"/>
                <w:highlight w:val="none"/>
              </w:rPr>
            </w:pPr>
            <w:r>
              <w:rPr>
                <w:rFonts w:hint="eastAsia" w:ascii="宋体" w:hAnsi="宋体" w:eastAsia="宋体" w:cs="宋体"/>
                <w:sz w:val="20"/>
                <w:szCs w:val="20"/>
                <w:highlight w:val="none"/>
              </w:rPr>
              <w:t>土壤及地下水污染防治措施</w:t>
            </w:r>
          </w:p>
        </w:tc>
        <w:tc>
          <w:tcPr>
            <w:tcW w:w="7476" w:type="dxa"/>
            <w:gridSpan w:val="4"/>
            <w:tcBorders>
              <w:right w:val="single" w:color="000000" w:sz="6" w:space="0"/>
            </w:tcBorders>
            <w:vAlign w:val="top"/>
          </w:tcPr>
          <w:p w14:paraId="03DC361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落实厂区分区防渗措施，做好车间地面防渗措施监管工作，避免重点防渗区域危险物质渗漏。专用化学品仓库及危废暂存间作为重点污染防治区，地面防渗性能</w:t>
            </w:r>
            <w:r>
              <w:rPr>
                <w:rFonts w:hint="eastAsia" w:ascii="Times New Roman" w:hAnsi="Times New Roman" w:eastAsia="宋体" w:cs="Times New Roman"/>
                <w:sz w:val="24"/>
                <w:szCs w:val="24"/>
                <w:highlight w:val="none"/>
                <w:lang w:val="en-US" w:eastAsia="zh-CN"/>
              </w:rPr>
              <w:t>以</w:t>
            </w:r>
            <w:r>
              <w:rPr>
                <w:rFonts w:hint="default" w:ascii="Times New Roman" w:hAnsi="Times New Roman" w:cs="Times New Roman"/>
                <w:sz w:val="24"/>
                <w:szCs w:val="24"/>
                <w:highlight w:val="none"/>
              </w:rPr>
              <w:t>渗透系数为1.0×10</w:t>
            </w:r>
            <w:r>
              <w:rPr>
                <w:rFonts w:hint="eastAsia"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vertAlign w:val="superscript"/>
              </w:rPr>
              <w:t>7</w:t>
            </w:r>
            <w:r>
              <w:rPr>
                <w:rFonts w:hint="default" w:ascii="Times New Roman" w:hAnsi="Times New Roman" w:cs="Times New Roman"/>
                <w:sz w:val="24"/>
                <w:szCs w:val="24"/>
                <w:highlight w:val="none"/>
              </w:rPr>
              <w:t>cm/s的黏土层</w:t>
            </w:r>
            <w:r>
              <w:rPr>
                <w:rFonts w:hint="eastAsia" w:ascii="Times New Roman" w:hAnsi="Times New Roman" w:eastAsia="宋体" w:cs="Times New Roman"/>
                <w:sz w:val="24"/>
                <w:szCs w:val="24"/>
                <w:highlight w:val="none"/>
                <w:lang w:val="en-US" w:eastAsia="zh-CN"/>
              </w:rPr>
              <w:t>为例，</w:t>
            </w:r>
            <w:r>
              <w:rPr>
                <w:rFonts w:hint="default" w:ascii="Times New Roman" w:hAnsi="Times New Roman" w:cs="Times New Roman"/>
                <w:sz w:val="24"/>
                <w:szCs w:val="24"/>
                <w:highlight w:val="none"/>
              </w:rPr>
              <w:t>不应低于1.5m厚</w:t>
            </w:r>
            <w:r>
              <w:rPr>
                <w:rFonts w:hint="eastAsia" w:ascii="Times New Roman" w:hAnsi="Times New Roman" w:eastAsia="宋体" w:cs="Times New Roman"/>
                <w:sz w:val="24"/>
                <w:szCs w:val="24"/>
                <w:highlight w:val="none"/>
                <w:lang w:eastAsia="zh-CN"/>
              </w:rPr>
              <w:t>。</w:t>
            </w:r>
            <w:r>
              <w:rPr>
                <w:rFonts w:hint="default" w:ascii="Times New Roman" w:hAnsi="Times New Roman" w:cs="Times New Roman"/>
                <w:sz w:val="24"/>
                <w:szCs w:val="24"/>
                <w:highlight w:val="none"/>
              </w:rPr>
              <w:t>做到防晒、防潮、通风、防雷、防静电要求，仓库密闭，仓库门口设置墁坡、围堰，减少化学品泄漏污染土壤的</w:t>
            </w:r>
            <w:r>
              <w:rPr>
                <w:rFonts w:hint="eastAsia" w:ascii="Times New Roman" w:hAnsi="Times New Roman" w:eastAsia="宋体" w:cs="Times New Roman"/>
                <w:sz w:val="24"/>
                <w:szCs w:val="24"/>
                <w:highlight w:val="none"/>
                <w:lang w:eastAsia="zh-CN"/>
              </w:rPr>
              <w:t>风险</w:t>
            </w:r>
            <w:r>
              <w:rPr>
                <w:rFonts w:hint="default" w:ascii="Times New Roman" w:hAnsi="Times New Roman" w:cs="Times New Roman"/>
                <w:sz w:val="24"/>
                <w:szCs w:val="24"/>
                <w:highlight w:val="none"/>
              </w:rPr>
              <w:t>；生产车间作为一般污染防治区，地面应铺设</w:t>
            </w:r>
            <w:r>
              <w:rPr>
                <w:rFonts w:hint="eastAsia" w:ascii="Times New Roman" w:hAnsi="Times New Roman" w:eastAsia="宋体" w:cs="Times New Roman"/>
                <w:sz w:val="24"/>
                <w:szCs w:val="24"/>
                <w:highlight w:val="none"/>
                <w:lang w:eastAsia="zh-CN"/>
              </w:rPr>
              <w:t>钢筋</w:t>
            </w:r>
            <w:r>
              <w:rPr>
                <w:rFonts w:hint="default" w:ascii="Times New Roman" w:hAnsi="Times New Roman" w:cs="Times New Roman"/>
                <w:sz w:val="24"/>
                <w:szCs w:val="24"/>
                <w:highlight w:val="none"/>
              </w:rPr>
              <w:t>混凝土加防渗剂的防渗地坪，车间地面采用防渗钢筋混凝土结构，内部采用水泥基渗透结晶型防渗材料涂层。车间/部门负责对设备、管网、消防设施等进行日常巡查，并做好相关记录。</w:t>
            </w:r>
          </w:p>
        </w:tc>
      </w:tr>
      <w:tr w14:paraId="5C729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328" w:type="dxa"/>
            <w:tcBorders>
              <w:left w:val="single" w:color="000000" w:sz="6" w:space="0"/>
            </w:tcBorders>
            <w:vAlign w:val="center"/>
          </w:tcPr>
          <w:p w14:paraId="5307FDE6">
            <w:pPr>
              <w:spacing w:before="65" w:line="229" w:lineRule="auto"/>
              <w:jc w:val="both"/>
              <w:rPr>
                <w:rFonts w:ascii="宋体" w:hAnsi="宋体" w:eastAsia="宋体" w:cs="宋体"/>
                <w:sz w:val="20"/>
                <w:szCs w:val="20"/>
                <w:highlight w:val="none"/>
              </w:rPr>
            </w:pPr>
            <w:r>
              <w:rPr>
                <w:rFonts w:ascii="宋体" w:hAnsi="宋体" w:eastAsia="宋体" w:cs="宋体"/>
                <w:spacing w:val="8"/>
                <w:sz w:val="20"/>
                <w:szCs w:val="20"/>
                <w:highlight w:val="none"/>
              </w:rPr>
              <w:t>生态保护措</w:t>
            </w:r>
            <w:r>
              <w:rPr>
                <w:rFonts w:ascii="宋体" w:hAnsi="宋体" w:eastAsia="宋体" w:cs="宋体"/>
                <w:spacing w:val="7"/>
                <w:sz w:val="20"/>
                <w:szCs w:val="20"/>
                <w:highlight w:val="none"/>
              </w:rPr>
              <w:t>施</w:t>
            </w:r>
          </w:p>
        </w:tc>
        <w:tc>
          <w:tcPr>
            <w:tcW w:w="7476" w:type="dxa"/>
            <w:gridSpan w:val="4"/>
            <w:tcBorders>
              <w:right w:val="single" w:color="000000" w:sz="6" w:space="0"/>
            </w:tcBorders>
            <w:vAlign w:val="center"/>
          </w:tcPr>
          <w:p w14:paraId="14E7FCE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Arial" w:eastAsia="宋体"/>
                <w:sz w:val="24"/>
                <w:szCs w:val="24"/>
                <w:highlight w:val="none"/>
                <w:lang w:val="en-US" w:eastAsia="zh-CN"/>
              </w:rPr>
            </w:pPr>
            <w:r>
              <w:rPr>
                <w:rFonts w:hint="eastAsia" w:eastAsia="宋体"/>
                <w:sz w:val="24"/>
                <w:szCs w:val="24"/>
                <w:highlight w:val="none"/>
                <w:lang w:val="en-US" w:eastAsia="zh-CN"/>
              </w:rPr>
              <w:t>本</w:t>
            </w:r>
            <w:r>
              <w:rPr>
                <w:rFonts w:hint="eastAsia" w:ascii="Times New Roman" w:hAnsi="Times New Roman" w:cs="Times New Roman"/>
                <w:sz w:val="24"/>
                <w:szCs w:val="24"/>
                <w:highlight w:val="none"/>
                <w:lang w:val="en-US" w:eastAsia="zh-CN"/>
              </w:rPr>
              <w:t>项目不涉及生态污染风险，因此不设置生态保护措施。</w:t>
            </w:r>
          </w:p>
        </w:tc>
      </w:tr>
      <w:tr w14:paraId="164F3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328" w:type="dxa"/>
            <w:tcBorders>
              <w:left w:val="single" w:color="000000" w:sz="6" w:space="0"/>
            </w:tcBorders>
            <w:vAlign w:val="center"/>
          </w:tcPr>
          <w:p w14:paraId="7B7EBF7F">
            <w:pPr>
              <w:spacing w:before="65" w:line="274" w:lineRule="exact"/>
              <w:jc w:val="center"/>
              <w:rPr>
                <w:rFonts w:ascii="宋体" w:hAnsi="宋体" w:eastAsia="宋体" w:cs="宋体"/>
                <w:sz w:val="20"/>
                <w:szCs w:val="20"/>
                <w:highlight w:val="none"/>
              </w:rPr>
            </w:pPr>
            <w:r>
              <w:rPr>
                <w:rFonts w:ascii="宋体" w:hAnsi="宋体" w:eastAsia="宋体" w:cs="宋体"/>
                <w:spacing w:val="-4"/>
                <w:position w:val="4"/>
                <w:sz w:val="20"/>
                <w:szCs w:val="20"/>
                <w:highlight w:val="none"/>
              </w:rPr>
              <w:t>环</w:t>
            </w:r>
            <w:r>
              <w:rPr>
                <w:rFonts w:ascii="宋体" w:hAnsi="宋体" w:eastAsia="宋体" w:cs="宋体"/>
                <w:spacing w:val="-3"/>
                <w:position w:val="4"/>
                <w:sz w:val="20"/>
                <w:szCs w:val="20"/>
                <w:highlight w:val="none"/>
              </w:rPr>
              <w:t>境</w:t>
            </w:r>
            <w:r>
              <w:rPr>
                <w:rFonts w:ascii="宋体" w:hAnsi="宋体" w:eastAsia="宋体" w:cs="宋体"/>
                <w:spacing w:val="-2"/>
                <w:position w:val="4"/>
                <w:sz w:val="20"/>
                <w:szCs w:val="20"/>
                <w:highlight w:val="none"/>
              </w:rPr>
              <w:t>风险</w:t>
            </w:r>
          </w:p>
          <w:p w14:paraId="40CB4286">
            <w:pPr>
              <w:spacing w:line="229" w:lineRule="auto"/>
              <w:jc w:val="center"/>
              <w:rPr>
                <w:rFonts w:ascii="宋体" w:hAnsi="宋体" w:eastAsia="宋体" w:cs="宋体"/>
                <w:sz w:val="20"/>
                <w:szCs w:val="20"/>
                <w:highlight w:val="none"/>
              </w:rPr>
            </w:pPr>
            <w:r>
              <w:rPr>
                <w:rFonts w:ascii="宋体" w:hAnsi="宋体" w:eastAsia="宋体" w:cs="宋体"/>
                <w:spacing w:val="-6"/>
                <w:sz w:val="20"/>
                <w:szCs w:val="20"/>
                <w:highlight w:val="none"/>
              </w:rPr>
              <w:t>防范措施</w:t>
            </w:r>
          </w:p>
        </w:tc>
        <w:tc>
          <w:tcPr>
            <w:tcW w:w="7476" w:type="dxa"/>
            <w:gridSpan w:val="4"/>
            <w:tcBorders>
              <w:right w:val="single" w:color="000000" w:sz="6" w:space="0"/>
            </w:tcBorders>
            <w:vAlign w:val="top"/>
          </w:tcPr>
          <w:p w14:paraId="542D47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本项目环境风险发生</w:t>
            </w:r>
            <w:r>
              <w:rPr>
                <w:rFonts w:hint="eastAsia" w:ascii="Times New Roman" w:hAnsi="Times New Roman" w:eastAsia="宋体" w:cs="Times New Roman"/>
                <w:sz w:val="24"/>
                <w:szCs w:val="24"/>
                <w:highlight w:val="none"/>
                <w:lang w:eastAsia="zh-CN"/>
              </w:rPr>
              <w:t>概率</w:t>
            </w:r>
            <w:r>
              <w:rPr>
                <w:rFonts w:hint="eastAsia" w:ascii="Times New Roman" w:hAnsi="Times New Roman" w:cs="Times New Roman"/>
                <w:sz w:val="24"/>
                <w:szCs w:val="24"/>
                <w:highlight w:val="none"/>
              </w:rPr>
              <w:t>极低，但不为零，为预防和控制突发</w:t>
            </w:r>
            <w:r>
              <w:rPr>
                <w:rFonts w:hint="eastAsia" w:ascii="Times New Roman" w:hAnsi="Times New Roman" w:eastAsia="宋体" w:cs="Times New Roman"/>
                <w:sz w:val="24"/>
                <w:szCs w:val="24"/>
                <w:highlight w:val="none"/>
                <w:lang w:eastAsia="zh-CN"/>
              </w:rPr>
              <w:t>泄漏</w:t>
            </w:r>
            <w:r>
              <w:rPr>
                <w:rFonts w:hint="eastAsia" w:ascii="Times New Roman" w:hAnsi="Times New Roman" w:cs="Times New Roman"/>
                <w:sz w:val="24"/>
                <w:szCs w:val="24"/>
                <w:highlight w:val="none"/>
              </w:rPr>
              <w:t>、火灾事故，应做好以下措施：</w:t>
            </w:r>
          </w:p>
          <w:p w14:paraId="0F2EED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①预防措施</w:t>
            </w:r>
          </w:p>
          <w:p w14:paraId="6D31FA4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废活性炭等运输过程须避免严重撞击、摩擦，搬运时要轻装轻卸，防止包装及容器损坏。存储容器必须密闭包装，严禁滴漏。废活性炭严禁随处倾倒或倒入下水道。原辅料应储存于阴凉、通风的库房。同时加强安全管理，由专人负责，并在存放点配备相应品种和数量的消防器材及</w:t>
            </w:r>
            <w:r>
              <w:rPr>
                <w:rFonts w:hint="eastAsia" w:ascii="Times New Roman" w:hAnsi="Times New Roman" w:eastAsia="宋体" w:cs="Times New Roman"/>
                <w:sz w:val="24"/>
                <w:szCs w:val="24"/>
                <w:highlight w:val="none"/>
                <w:lang w:eastAsia="zh-CN"/>
              </w:rPr>
              <w:t>泄漏</w:t>
            </w:r>
            <w:r>
              <w:rPr>
                <w:rFonts w:hint="eastAsia" w:ascii="Times New Roman" w:hAnsi="Times New Roman" w:cs="Times New Roman"/>
                <w:sz w:val="24"/>
                <w:szCs w:val="24"/>
                <w:highlight w:val="none"/>
              </w:rPr>
              <w:t>应急处理设备，储区应备有应急设备和合适的收容材料。</w:t>
            </w:r>
          </w:p>
          <w:p w14:paraId="1475897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②应急措施</w:t>
            </w:r>
          </w:p>
          <w:p w14:paraId="76AC567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当发生</w:t>
            </w:r>
            <w:r>
              <w:rPr>
                <w:rFonts w:hint="eastAsia" w:ascii="Times New Roman" w:hAnsi="Times New Roman" w:eastAsia="宋体" w:cs="Times New Roman"/>
                <w:sz w:val="24"/>
                <w:szCs w:val="24"/>
                <w:highlight w:val="none"/>
                <w:lang w:eastAsia="zh-CN"/>
              </w:rPr>
              <w:t>泄漏</w:t>
            </w:r>
            <w:r>
              <w:rPr>
                <w:rFonts w:hint="eastAsia" w:ascii="Times New Roman" w:hAnsi="Times New Roman" w:cs="Times New Roman"/>
                <w:sz w:val="24"/>
                <w:szCs w:val="24"/>
                <w:highlight w:val="none"/>
              </w:rPr>
              <w:t>、火灾等事故时，应首先组织人员疏散，在确保安全的前提下，尝试进行以下应急处理措施：</w:t>
            </w:r>
          </w:p>
          <w:p w14:paraId="3F763AD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A</w:t>
            </w:r>
            <w:r>
              <w:rPr>
                <w:rFonts w:hint="eastAsia"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rPr>
              <w:t>废活性炭泄漏的应急措施当发生泄漏时尽可能切断泄漏源，可及时进行处理，放置于新的容器中。</w:t>
            </w:r>
          </w:p>
          <w:p w14:paraId="7EA0CA8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Arial"/>
                <w:sz w:val="24"/>
                <w:szCs w:val="24"/>
                <w:highlight w:val="none"/>
              </w:rPr>
            </w:pPr>
            <w:r>
              <w:rPr>
                <w:rFonts w:hint="eastAsia" w:ascii="Times New Roman" w:hAnsi="Times New Roman" w:cs="Times New Roman"/>
                <w:sz w:val="24"/>
                <w:szCs w:val="24"/>
                <w:highlight w:val="none"/>
              </w:rPr>
              <w:t>B</w:t>
            </w:r>
            <w:r>
              <w:rPr>
                <w:rFonts w:hint="eastAsia"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rPr>
              <w:t>发生火灾的次生污染源项应急措施：发生火灾后应用干粉灭火器于上风向灭火，火灾残余物作为危险废物委托有资质的单位处置。</w:t>
            </w:r>
          </w:p>
        </w:tc>
      </w:tr>
      <w:tr w14:paraId="587C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28" w:type="dxa"/>
            <w:tcBorders>
              <w:left w:val="single" w:color="000000" w:sz="6" w:space="0"/>
            </w:tcBorders>
            <w:vAlign w:val="center"/>
          </w:tcPr>
          <w:p w14:paraId="482AE6B9">
            <w:pPr>
              <w:spacing w:before="263" w:line="229" w:lineRule="auto"/>
              <w:jc w:val="center"/>
              <w:rPr>
                <w:rFonts w:ascii="宋体" w:hAnsi="宋体" w:eastAsia="宋体" w:cs="宋体"/>
                <w:sz w:val="20"/>
                <w:szCs w:val="20"/>
                <w:highlight w:val="none"/>
              </w:rPr>
            </w:pPr>
            <w:r>
              <w:rPr>
                <w:rFonts w:ascii="宋体" w:hAnsi="宋体" w:eastAsia="宋体" w:cs="宋体"/>
                <w:spacing w:val="-3"/>
                <w:sz w:val="20"/>
                <w:szCs w:val="20"/>
                <w:highlight w:val="none"/>
              </w:rPr>
              <w:t>其他环境</w:t>
            </w:r>
          </w:p>
          <w:p w14:paraId="63842E04">
            <w:pPr>
              <w:spacing w:before="23" w:line="228" w:lineRule="auto"/>
              <w:jc w:val="center"/>
              <w:outlineLvl w:val="2"/>
              <w:rPr>
                <w:rFonts w:ascii="宋体" w:hAnsi="宋体" w:eastAsia="宋体" w:cs="宋体"/>
                <w:sz w:val="20"/>
                <w:szCs w:val="20"/>
                <w:highlight w:val="none"/>
              </w:rPr>
            </w:pPr>
            <w:r>
              <w:rPr>
                <w:rFonts w:ascii="宋体" w:hAnsi="宋体" w:eastAsia="宋体" w:cs="宋体"/>
                <w:spacing w:val="-6"/>
                <w:sz w:val="20"/>
                <w:szCs w:val="20"/>
                <w:highlight w:val="none"/>
              </w:rPr>
              <w:t>管</w:t>
            </w:r>
            <w:r>
              <w:rPr>
                <w:rFonts w:ascii="宋体" w:hAnsi="宋体" w:eastAsia="宋体" w:cs="宋体"/>
                <w:spacing w:val="-3"/>
                <w:sz w:val="20"/>
                <w:szCs w:val="20"/>
                <w:highlight w:val="none"/>
              </w:rPr>
              <w:t>理要求</w:t>
            </w:r>
          </w:p>
        </w:tc>
        <w:tc>
          <w:tcPr>
            <w:tcW w:w="7476" w:type="dxa"/>
            <w:gridSpan w:val="4"/>
            <w:tcBorders>
              <w:right w:val="single" w:color="000000" w:sz="6" w:space="0"/>
            </w:tcBorders>
            <w:vAlign w:val="top"/>
          </w:tcPr>
          <w:p w14:paraId="76358172">
            <w:pPr>
              <w:spacing w:before="43" w:line="220" w:lineRule="auto"/>
              <w:ind w:left="9"/>
              <w:rPr>
                <w:rFonts w:ascii="新宋体" w:hAnsi="新宋体" w:eastAsia="新宋体" w:cs="新宋体"/>
                <w:sz w:val="28"/>
                <w:szCs w:val="28"/>
                <w:highlight w:val="none"/>
              </w:rPr>
            </w:pPr>
            <w:r>
              <w:rPr>
                <w:rFonts w:ascii="Times New Roman" w:hAnsi="Times New Roman" w:eastAsia="Times New Roman" w:cs="Times New Roman"/>
                <w:b/>
                <w:bCs/>
                <w:spacing w:val="-2"/>
                <w:sz w:val="28"/>
                <w:szCs w:val="28"/>
                <w:highlight w:val="none"/>
              </w:rPr>
              <w:t xml:space="preserve">5.1  </w:t>
            </w:r>
            <w:r>
              <w:rPr>
                <w:rFonts w:ascii="新宋体" w:hAnsi="新宋体" w:eastAsia="新宋体" w:cs="新宋体"/>
                <w:b/>
                <w:bCs/>
                <w:spacing w:val="-2"/>
                <w:sz w:val="28"/>
                <w:szCs w:val="28"/>
                <w:highlight w:val="none"/>
              </w:rPr>
              <w:t>环境管理</w:t>
            </w:r>
          </w:p>
          <w:p w14:paraId="06DD9C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环境保护的关键是环境管理，实践证明企业的环境管理是企业管理的重要组成部分，它与计划、生产、质量、技术、财务等管理是同等重要的，它对促进环境效益、经济效益的提高，都起到了明显的作用。环境管理的基本任务是以保护环境为目标</w:t>
            </w:r>
            <w:r>
              <w:rPr>
                <w:rFonts w:hint="eastAsia" w:ascii="Times New Roman" w:hAnsi="Times New Roman" w:eastAsia="宋体" w:cs="Times New Roman"/>
                <w:sz w:val="24"/>
                <w:szCs w:val="24"/>
                <w:highlight w:val="none"/>
                <w:lang w:eastAsia="zh-CN"/>
              </w:rPr>
              <w:t>，以</w:t>
            </w:r>
            <w:r>
              <w:rPr>
                <w:rFonts w:hint="eastAsia" w:ascii="Times New Roman" w:hAnsi="Times New Roman" w:cs="Times New Roman"/>
                <w:sz w:val="24"/>
                <w:szCs w:val="24"/>
                <w:highlight w:val="none"/>
              </w:rPr>
              <w:t>清洁生产为手段，发展生产</w:t>
            </w:r>
            <w:r>
              <w:rPr>
                <w:rFonts w:hint="eastAsia" w:ascii="Times New Roman" w:hAnsi="Times New Roman" w:eastAsia="宋体" w:cs="Times New Roman"/>
                <w:sz w:val="24"/>
                <w:szCs w:val="24"/>
                <w:highlight w:val="none"/>
                <w:lang w:val="en-US" w:eastAsia="zh-CN"/>
              </w:rPr>
              <w:t>力</w:t>
            </w:r>
            <w:r>
              <w:rPr>
                <w:rFonts w:hint="eastAsia" w:ascii="Times New Roman" w:hAnsi="Times New Roman" w:cs="Times New Roman"/>
                <w:sz w:val="24"/>
                <w:szCs w:val="24"/>
                <w:highlight w:val="none"/>
              </w:rPr>
              <w:t>和经济效益，</w:t>
            </w:r>
            <w:r>
              <w:rPr>
                <w:rFonts w:hint="eastAsia" w:ascii="Times New Roman" w:hAnsi="Times New Roman" w:eastAsia="宋体" w:cs="Times New Roman"/>
                <w:sz w:val="24"/>
                <w:szCs w:val="24"/>
                <w:highlight w:val="none"/>
                <w:lang w:val="en-US" w:eastAsia="zh-CN"/>
              </w:rPr>
              <w:t>其作用</w:t>
            </w:r>
            <w:r>
              <w:rPr>
                <w:rFonts w:hint="eastAsia" w:ascii="Times New Roman" w:hAnsi="Times New Roman" w:cs="Times New Roman"/>
                <w:sz w:val="24"/>
                <w:szCs w:val="24"/>
                <w:highlight w:val="none"/>
              </w:rPr>
              <w:t>主要是保证公司的</w:t>
            </w:r>
            <w:r>
              <w:rPr>
                <w:rFonts w:hint="eastAsia"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rPr>
              <w:t>三废</w:t>
            </w:r>
            <w:r>
              <w:rPr>
                <w:rFonts w:hint="eastAsia" w:ascii="Times New Roman" w:hAnsi="Times New Roman" w:eastAsia="宋体" w:cs="Times New Roman"/>
                <w:sz w:val="24"/>
                <w:szCs w:val="24"/>
                <w:highlight w:val="none"/>
                <w:lang w:eastAsia="zh-CN"/>
              </w:rPr>
              <w:t>”</w:t>
            </w:r>
            <w:r>
              <w:rPr>
                <w:rFonts w:hint="eastAsia" w:ascii="Times New Roman" w:hAnsi="Times New Roman" w:cs="Times New Roman"/>
                <w:sz w:val="24"/>
                <w:szCs w:val="24"/>
                <w:highlight w:val="none"/>
              </w:rPr>
              <w:t>治理设施的正常运转达标排放，做到发展生产的</w:t>
            </w:r>
            <w:r>
              <w:rPr>
                <w:rFonts w:hint="eastAsia" w:ascii="Times New Roman" w:hAnsi="Times New Roman" w:eastAsia="宋体" w:cs="Times New Roman"/>
                <w:sz w:val="24"/>
                <w:szCs w:val="24"/>
                <w:highlight w:val="none"/>
                <w:lang w:val="en-US" w:eastAsia="zh-CN"/>
              </w:rPr>
              <w:t>同时</w:t>
            </w:r>
            <w:r>
              <w:rPr>
                <w:rFonts w:hint="eastAsia" w:ascii="Times New Roman" w:hAnsi="Times New Roman" w:cs="Times New Roman"/>
                <w:sz w:val="24"/>
                <w:szCs w:val="24"/>
                <w:highlight w:val="none"/>
              </w:rPr>
              <w:t>保护环境。</w:t>
            </w:r>
          </w:p>
          <w:p w14:paraId="1C434D6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（1）及时开展企业自主环保验收和备案工作。贯彻执行调试期间建立的环保工作机构和工作制度以及监视性监测制度，并不断总结经验提高管理水平。</w:t>
            </w:r>
          </w:p>
          <w:p w14:paraId="471FE8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（2）制定各环保设施操作规程，定期维修制度，使各项环保设施在生产过程中处于良好的运行状态，如环保设施出现故障，应立即停厂检修，严禁非正常排放。</w:t>
            </w:r>
          </w:p>
          <w:p w14:paraId="08B993C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（3）对技术工作进行上岗前的环保知识法规教育及操作规程的培训，使各项环保设施的操作规范化，保证环保设施的正常运转。</w:t>
            </w:r>
          </w:p>
          <w:p w14:paraId="177F6DB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（4）加强环境监测工作，重点是各污染源的监测，并注意做好记录，不弄虚作假。监测中如发现异常情况应及时向有关部门通报，及时采取应急措施，防止事故排放。</w:t>
            </w:r>
          </w:p>
          <w:p w14:paraId="0F1168B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（5）建立本公司的环境保护档案。档案包括：</w:t>
            </w:r>
          </w:p>
          <w:p w14:paraId="5CFB0B0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①污染物排放情况，污染物治理设施的运行、操作和管理情况；</w:t>
            </w:r>
          </w:p>
          <w:p w14:paraId="1ED3920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②限期治理执行情况；</w:t>
            </w:r>
          </w:p>
          <w:p w14:paraId="4EE6460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③事故情况及有关记录；</w:t>
            </w:r>
          </w:p>
          <w:p w14:paraId="3ECFE4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④采用的监测分析方法和监测记录；</w:t>
            </w:r>
          </w:p>
          <w:p w14:paraId="340FEF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⑤与污染有关的生产工艺、原材料使用方面的资料；</w:t>
            </w:r>
          </w:p>
          <w:p w14:paraId="3418B93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⑥其他与污染防治有关的情况和资料等。</w:t>
            </w:r>
          </w:p>
          <w:p w14:paraId="0A4F5D2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（6）建立污染事故报告制度，编制环境风险应急预案，并组织演练。</w:t>
            </w:r>
          </w:p>
          <w:p w14:paraId="636B6D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（7）加强挥发性有机废气污染防治措施的管理和日常的设备维护、维修，严格遵循以下几点：</w:t>
            </w:r>
          </w:p>
          <w:p w14:paraId="5943AC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①建立物料管理台账，详实记录各类原辅材料的采购及使用情况，妥善保存原辅材料成分说明书、检验报告、发票等原始单据，保存期限不得少于三年；</w:t>
            </w:r>
          </w:p>
          <w:p w14:paraId="111257D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②</w:t>
            </w:r>
            <w:r>
              <w:rPr>
                <w:rFonts w:hint="eastAsia" w:ascii="Times New Roman" w:hAnsi="Times New Roman" w:eastAsia="宋体" w:cs="Times New Roman"/>
                <w:sz w:val="24"/>
                <w:szCs w:val="24"/>
                <w:highlight w:val="none"/>
                <w:lang w:eastAsia="zh-CN"/>
              </w:rPr>
              <w:t>环境治理</w:t>
            </w:r>
            <w:r>
              <w:rPr>
                <w:rFonts w:hint="eastAsia" w:ascii="Times New Roman" w:hAnsi="Times New Roman" w:cs="Times New Roman"/>
                <w:sz w:val="24"/>
                <w:szCs w:val="24"/>
                <w:highlight w:val="none"/>
              </w:rPr>
              <w:t>设施和生产设备的开、关时间必须如实记录，记录保存期限不得少于三年，设施设备的开关时间要求必须写入操作规程并明示公布；</w:t>
            </w:r>
          </w:p>
          <w:p w14:paraId="60A634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③将污染治理设施的工艺流程、工艺参数、操作规程和维护制度在设施现场和操作场所明示公布，建立运维台账，保存期限不得少于三年。工艺流程公示内容应包括治理设施的工艺流程图、治理工艺总体介绍及主要技术参数。活性炭吸附法公示的技术参数应至少包含使用的活性炭填充量、活性炭使用周期、活性炭更换量、吸附效率、设计风量、停留时间、进气温度等。</w:t>
            </w:r>
          </w:p>
          <w:p w14:paraId="43AF60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④每个季度应对其环保设施运行情况进行自查，并将自查报告在网上公示。</w:t>
            </w:r>
          </w:p>
          <w:p w14:paraId="3F16B79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eastAsia="宋体" w:cs="Times New Roman"/>
                <w:b/>
                <w:bCs/>
                <w:sz w:val="28"/>
                <w:szCs w:val="28"/>
                <w:highlight w:val="none"/>
                <w:lang w:val="en-US" w:eastAsia="zh-CN"/>
              </w:rPr>
            </w:pPr>
            <w:r>
              <w:rPr>
                <w:rFonts w:hint="eastAsia" w:ascii="Times New Roman" w:hAnsi="Times New Roman" w:eastAsia="宋体" w:cs="Times New Roman"/>
                <w:b/>
                <w:bCs/>
                <w:sz w:val="28"/>
                <w:szCs w:val="28"/>
                <w:highlight w:val="none"/>
                <w:lang w:val="en-US" w:eastAsia="zh-CN"/>
              </w:rPr>
              <w:t>5.2 排污申报</w:t>
            </w:r>
          </w:p>
          <w:p w14:paraId="3DAF898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排污许可管理条例》要求，纳入排污许可管理的建设项目，排污单位应当在启动生产设施或者实际排污之前，按照国家排污许可有关管理规定要求，申请排污许可证，不得无证排污或不按证排污。建设单位投产前应对照《固定污染源排污许可分类管理名录》</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2019版</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相关规定及时申请并取得排污许可证，并按照排污许可证的规定排放污染物。</w:t>
            </w:r>
            <w:r>
              <w:rPr>
                <w:rFonts w:hint="eastAsia" w:ascii="Times New Roman" w:hAnsi="Times New Roman" w:cs="Times New Roman"/>
                <w:sz w:val="24"/>
                <w:szCs w:val="24"/>
                <w:highlight w:val="none"/>
                <w:lang w:val="en-US" w:eastAsia="zh-CN"/>
              </w:rPr>
              <w:t>具体应按照以下标准执行：</w:t>
            </w:r>
          </w:p>
          <w:p w14:paraId="39F6AEC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（1）建设单位应在国家排污许可证申报平台上进行填报，申报成功后按排污许可证相关要求进行排污，禁止非法排污。</w:t>
            </w:r>
          </w:p>
          <w:p w14:paraId="62ECA85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（2）污染物排放种类、数量、浓度或者强度需作重大变化或者污染物排放方式、去向发生改变时，排污者应分别在变更前十五日或者紧急变更后三日内向环境保护行政主管部门申报变更登记。</w:t>
            </w:r>
          </w:p>
          <w:p w14:paraId="44D7365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（3）依法申领排污许可证，必须按批准的排放总量和浓度进行排放。</w:t>
            </w:r>
          </w:p>
          <w:p w14:paraId="40745C5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lang w:val="en-US" w:eastAsia="zh-CN"/>
              </w:rPr>
              <w:t>5.3 竣工验收</w:t>
            </w:r>
          </w:p>
          <w:p w14:paraId="608BF44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根据《建设项目环境保护管理条例》</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国令第682号，2017年10月1日施行</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、《建设项目竣工环境保护验收暂行办法》</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国环规环评</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2017</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4号</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要求，在本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w:t>
            </w:r>
            <w:r>
              <w:rPr>
                <w:rFonts w:hint="eastAsia" w:ascii="宋体" w:hAnsi="宋体" w:eastAsia="宋体" w:cs="宋体"/>
                <w:sz w:val="24"/>
                <w:szCs w:val="24"/>
                <w:highlight w:val="none"/>
                <w:lang w:val="en-US" w:eastAsia="zh-CN"/>
              </w:rPr>
              <w:t>施“三同时”落</w:t>
            </w:r>
            <w:r>
              <w:rPr>
                <w:rFonts w:hint="default" w:ascii="Times New Roman" w:hAnsi="Times New Roman" w:cs="Times New Roman"/>
                <w:sz w:val="24"/>
                <w:szCs w:val="24"/>
                <w:highlight w:val="none"/>
                <w:lang w:val="en-US" w:eastAsia="zh-CN"/>
              </w:rPr>
              <w:t>实情况，编制竣工环境保护验收报告，项目应在环境保护设施调试之日起，3个月内委托有资质的监测机构对环保设施的运行情况进行验收</w:t>
            </w:r>
            <w:r>
              <w:rPr>
                <w:rFonts w:hint="eastAsia" w:ascii="Times New Roman" w:hAnsi="Times New Roman" w:cs="Times New Roman"/>
                <w:sz w:val="24"/>
                <w:szCs w:val="24"/>
                <w:highlight w:val="none"/>
                <w:lang w:val="en-US" w:eastAsia="zh-CN"/>
              </w:rPr>
              <w:t>检测</w:t>
            </w:r>
            <w:r>
              <w:rPr>
                <w:rFonts w:hint="default" w:ascii="Times New Roman" w:hAnsi="Times New Roman" w:cs="Times New Roman"/>
                <w:sz w:val="24"/>
                <w:szCs w:val="24"/>
                <w:highlight w:val="none"/>
                <w:lang w:val="en-US" w:eastAsia="zh-CN"/>
              </w:rPr>
              <w:t>，自行开展项目竣工环境保护验收。需要环境保护设施进行调试或者整改的，验收期限可以适当延期，但最长不超过12个月。在验收报告编制完成后5个工作日内，公开验收报告，公示的期限不得少于20个工作日。验收报告公示期满后5个工作日内，建设单位应当登录全国建设项目竣工环境保护验收信息平台，填报建设项目基本信息、环境保护设施验收情况等相关信息。</w:t>
            </w:r>
          </w:p>
          <w:p w14:paraId="5676E5C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本项目自主验收应落实以下环境保护措施，详见</w:t>
            </w:r>
            <w:r>
              <w:rPr>
                <w:rFonts w:hint="eastAsia" w:ascii="Times New Roman" w:hAnsi="Times New Roman" w:cs="Times New Roman"/>
                <w:sz w:val="24"/>
                <w:szCs w:val="24"/>
                <w:highlight w:val="none"/>
                <w:lang w:val="en-US" w:eastAsia="zh-CN"/>
              </w:rPr>
              <w:t>下</w:t>
            </w:r>
            <w:r>
              <w:rPr>
                <w:rFonts w:hint="default" w:ascii="Times New Roman" w:hAnsi="Times New Roman" w:cs="Times New Roman"/>
                <w:sz w:val="24"/>
                <w:szCs w:val="24"/>
                <w:highlight w:val="none"/>
                <w:lang w:val="en-US" w:eastAsia="zh-CN"/>
              </w:rPr>
              <w:t>表5</w:t>
            </w:r>
            <w:r>
              <w:rPr>
                <w:rFonts w:hint="eastAsia" w:ascii="Times New Roman" w:hAnsi="Times New Roman" w:cs="Times New Roman"/>
                <w:sz w:val="24"/>
                <w:szCs w:val="24"/>
                <w:highlight w:val="none"/>
                <w:lang w:val="en-US" w:eastAsia="zh-CN"/>
              </w:rPr>
              <w:t>.3-1</w:t>
            </w:r>
            <w:r>
              <w:rPr>
                <w:rFonts w:hint="default" w:ascii="Times New Roman" w:hAnsi="Times New Roman" w:cs="Times New Roman"/>
                <w:sz w:val="24"/>
                <w:szCs w:val="24"/>
                <w:highlight w:val="none"/>
                <w:lang w:val="en-US" w:eastAsia="zh-CN"/>
              </w:rPr>
              <w:t>。</w:t>
            </w:r>
          </w:p>
          <w:p w14:paraId="1B6BB338">
            <w:pPr>
              <w:pStyle w:val="26"/>
              <w:adjustRightInd/>
              <w:spacing w:before="120" w:beforeLines="50"/>
              <w:jc w:val="center"/>
              <w:rPr>
                <w:rFonts w:hint="default" w:ascii="Times New Roman" w:hAnsi="Times New Roman" w:cs="Times New Roman"/>
                <w:b/>
                <w:bCs/>
                <w:sz w:val="24"/>
                <w:szCs w:val="24"/>
                <w:highlight w:val="none"/>
              </w:rPr>
            </w:pPr>
            <w:r>
              <w:rPr>
                <w:rFonts w:hint="default" w:ascii="Times New Roman" w:hAnsi="Times New Roman" w:cs="Times New Roman"/>
                <w:b/>
                <w:bCs/>
                <w:sz w:val="24"/>
                <w:szCs w:val="24"/>
                <w:highlight w:val="none"/>
              </w:rPr>
              <w:t>表5</w:t>
            </w:r>
            <w:r>
              <w:rPr>
                <w:rFonts w:hint="eastAsia" w:ascii="Times New Roman" w:hAnsi="Times New Roman" w:eastAsia="宋体" w:cs="Times New Roman"/>
                <w:b/>
                <w:bCs/>
                <w:sz w:val="24"/>
                <w:szCs w:val="24"/>
                <w:highlight w:val="none"/>
                <w:lang w:val="en-US" w:eastAsia="zh-CN"/>
              </w:rPr>
              <w:t>.3</w:t>
            </w:r>
            <w:r>
              <w:rPr>
                <w:rFonts w:hint="default" w:ascii="Times New Roman" w:hAnsi="Times New Roman" w:cs="Times New Roman"/>
                <w:b/>
                <w:bCs/>
                <w:sz w:val="24"/>
                <w:szCs w:val="24"/>
                <w:highlight w:val="none"/>
              </w:rPr>
              <w:t>-1 项目竣工环境保护验收一览表</w:t>
            </w:r>
          </w:p>
          <w:tbl>
            <w:tblPr>
              <w:tblStyle w:val="18"/>
              <w:tblW w:w="74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90"/>
              <w:gridCol w:w="1110"/>
              <w:gridCol w:w="3495"/>
              <w:gridCol w:w="1158"/>
            </w:tblGrid>
            <w:tr w14:paraId="20901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6" w:type="dxa"/>
                  <w:gridSpan w:val="2"/>
                  <w:vAlign w:val="center"/>
                </w:tcPr>
                <w:p w14:paraId="0DC71994">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类别</w:t>
                  </w:r>
                </w:p>
              </w:tc>
              <w:tc>
                <w:tcPr>
                  <w:tcW w:w="1110" w:type="dxa"/>
                  <w:vAlign w:val="center"/>
                </w:tcPr>
                <w:p w14:paraId="2A2CF904">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验收项目</w:t>
                  </w:r>
                </w:p>
              </w:tc>
              <w:tc>
                <w:tcPr>
                  <w:tcW w:w="3495" w:type="dxa"/>
                  <w:vAlign w:val="center"/>
                </w:tcPr>
                <w:p w14:paraId="1A59D56A">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验收内容</w:t>
                  </w:r>
                </w:p>
              </w:tc>
              <w:tc>
                <w:tcPr>
                  <w:tcW w:w="1158" w:type="dxa"/>
                  <w:vAlign w:val="center"/>
                </w:tcPr>
                <w:p w14:paraId="035CF783">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验收要求</w:t>
                  </w:r>
                </w:p>
              </w:tc>
            </w:tr>
            <w:tr w14:paraId="71520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restart"/>
                  <w:vAlign w:val="center"/>
                </w:tcPr>
                <w:p w14:paraId="7B39FEA8">
                  <w:pPr>
                    <w:pStyle w:val="26"/>
                    <w:adjustRightInd/>
                    <w:spacing w:line="340" w:lineRule="exact"/>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废水</w:t>
                  </w:r>
                </w:p>
              </w:tc>
              <w:tc>
                <w:tcPr>
                  <w:tcW w:w="1290" w:type="dxa"/>
                  <w:vMerge w:val="restart"/>
                  <w:vAlign w:val="center"/>
                </w:tcPr>
                <w:p w14:paraId="5BED2CFE">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生活</w:t>
                  </w:r>
                </w:p>
                <w:p w14:paraId="7AEB5C87">
                  <w:pPr>
                    <w:pStyle w:val="26"/>
                    <w:adjustRightInd/>
                    <w:spacing w:line="340" w:lineRule="exact"/>
                    <w:jc w:val="center"/>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污水</w:t>
                  </w:r>
                </w:p>
              </w:tc>
              <w:tc>
                <w:tcPr>
                  <w:tcW w:w="1110" w:type="dxa"/>
                  <w:vAlign w:val="center"/>
                </w:tcPr>
                <w:p w14:paraId="32499DA8">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处理措施</w:t>
                  </w:r>
                </w:p>
              </w:tc>
              <w:tc>
                <w:tcPr>
                  <w:tcW w:w="3495" w:type="dxa"/>
                  <w:vAlign w:val="center"/>
                </w:tcPr>
                <w:p w14:paraId="4D31FE30">
                  <w:pPr>
                    <w:pStyle w:val="26"/>
                    <w:adjustRightInd/>
                    <w:spacing w:line="340" w:lineRule="exact"/>
                    <w:jc w:val="center"/>
                    <w:rPr>
                      <w:rFonts w:hint="default" w:ascii="Times New Roman" w:hAnsi="Times New Roman" w:cs="Times New Roman"/>
                      <w:sz w:val="21"/>
                      <w:szCs w:val="21"/>
                      <w:highlight w:val="none"/>
                    </w:rPr>
                  </w:pPr>
                  <w:r>
                    <w:rPr>
                      <w:rFonts w:hint="eastAsia" w:ascii="Times New Roman" w:hAnsi="Times New Roman" w:eastAsia="宋体" w:cs="Times New Roman"/>
                      <w:sz w:val="21"/>
                      <w:szCs w:val="21"/>
                      <w:highlight w:val="none"/>
                      <w:lang w:val="en-US" w:eastAsia="zh-CN"/>
                    </w:rPr>
                    <w:t>依托出租方化粪池</w:t>
                  </w:r>
                  <w:r>
                    <w:rPr>
                      <w:rFonts w:hint="default" w:ascii="Times New Roman" w:hAnsi="Times New Roman" w:cs="Times New Roman"/>
                      <w:sz w:val="21"/>
                      <w:szCs w:val="21"/>
                      <w:highlight w:val="none"/>
                    </w:rPr>
                    <w:t>处理后通过市政污水管网纳入永春县蓬壶镇污水处理厂集中处理</w:t>
                  </w:r>
                </w:p>
              </w:tc>
              <w:tc>
                <w:tcPr>
                  <w:tcW w:w="1158" w:type="dxa"/>
                  <w:vMerge w:val="restart"/>
                  <w:vAlign w:val="center"/>
                </w:tcPr>
                <w:p w14:paraId="11F14E35">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验收落实情况</w:t>
                  </w:r>
                </w:p>
              </w:tc>
            </w:tr>
            <w:tr w14:paraId="67773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426" w:type="dxa"/>
                  <w:vMerge w:val="continue"/>
                  <w:vAlign w:val="center"/>
                </w:tcPr>
                <w:p w14:paraId="5B9FA16F">
                  <w:pPr>
                    <w:pStyle w:val="26"/>
                    <w:adjustRightInd/>
                    <w:spacing w:line="340" w:lineRule="exact"/>
                    <w:jc w:val="center"/>
                    <w:rPr>
                      <w:rFonts w:hint="default" w:ascii="Times New Roman" w:hAnsi="Times New Roman" w:cs="Times New Roman"/>
                      <w:sz w:val="21"/>
                      <w:szCs w:val="21"/>
                      <w:highlight w:val="none"/>
                    </w:rPr>
                  </w:pPr>
                </w:p>
              </w:tc>
              <w:tc>
                <w:tcPr>
                  <w:tcW w:w="1290" w:type="dxa"/>
                  <w:vMerge w:val="continue"/>
                  <w:vAlign w:val="center"/>
                </w:tcPr>
                <w:p w14:paraId="1600F592">
                  <w:pPr>
                    <w:pStyle w:val="26"/>
                    <w:adjustRightInd/>
                    <w:spacing w:line="340" w:lineRule="exact"/>
                    <w:jc w:val="center"/>
                    <w:rPr>
                      <w:rFonts w:hint="default" w:ascii="Times New Roman" w:hAnsi="Times New Roman" w:cs="Times New Roman"/>
                      <w:sz w:val="21"/>
                      <w:szCs w:val="21"/>
                      <w:highlight w:val="none"/>
                    </w:rPr>
                  </w:pPr>
                </w:p>
              </w:tc>
              <w:tc>
                <w:tcPr>
                  <w:tcW w:w="1110" w:type="dxa"/>
                  <w:vAlign w:val="center"/>
                </w:tcPr>
                <w:p w14:paraId="3DD99823">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执行标准</w:t>
                  </w:r>
                </w:p>
              </w:tc>
              <w:tc>
                <w:tcPr>
                  <w:tcW w:w="3495" w:type="dxa"/>
                  <w:vAlign w:val="center"/>
                </w:tcPr>
                <w:p w14:paraId="5FAE5619">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《污水综合排放标准》</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eastAsia="zh-CN"/>
                    </w:rPr>
                    <w:t>GB 8978-1996</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表4三级标准，其中NH</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-N处理达《污水排入城镇下水道水质标准》</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eastAsia="zh-CN"/>
                    </w:rPr>
                    <w:t>GB/T 31962-2015</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表1B等级</w:t>
                  </w:r>
                </w:p>
              </w:tc>
              <w:tc>
                <w:tcPr>
                  <w:tcW w:w="1158" w:type="dxa"/>
                  <w:vMerge w:val="continue"/>
                  <w:vAlign w:val="center"/>
                </w:tcPr>
                <w:p w14:paraId="3E29DFB0">
                  <w:pPr>
                    <w:pStyle w:val="26"/>
                    <w:adjustRightInd/>
                    <w:spacing w:line="340" w:lineRule="exact"/>
                    <w:jc w:val="center"/>
                    <w:rPr>
                      <w:rFonts w:hint="default" w:ascii="Times New Roman" w:hAnsi="Times New Roman" w:cs="Times New Roman"/>
                      <w:sz w:val="21"/>
                      <w:szCs w:val="21"/>
                      <w:highlight w:val="none"/>
                    </w:rPr>
                  </w:pPr>
                </w:p>
              </w:tc>
            </w:tr>
            <w:tr w14:paraId="221B9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restart"/>
                  <w:vAlign w:val="center"/>
                </w:tcPr>
                <w:p w14:paraId="7E15B21D">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废气</w:t>
                  </w:r>
                </w:p>
              </w:tc>
              <w:tc>
                <w:tcPr>
                  <w:tcW w:w="1290" w:type="dxa"/>
                  <w:vMerge w:val="restart"/>
                  <w:vAlign w:val="center"/>
                </w:tcPr>
                <w:p w14:paraId="44052006">
                  <w:pPr>
                    <w:pStyle w:val="26"/>
                    <w:adjustRightInd/>
                    <w:spacing w:line="340" w:lineRule="exact"/>
                    <w:jc w:val="both"/>
                    <w:rPr>
                      <w:rFonts w:hint="eastAsia"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排气筒</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DA001</w:t>
                  </w:r>
                  <w:r>
                    <w:rPr>
                      <w:rFonts w:hint="eastAsia" w:ascii="Times New Roman" w:hAnsi="Times New Roman" w:eastAsia="宋体" w:cs="Times New Roman"/>
                      <w:sz w:val="21"/>
                      <w:szCs w:val="21"/>
                      <w:highlight w:val="none"/>
                      <w:lang w:eastAsia="zh-CN"/>
                    </w:rPr>
                    <w:t>）</w:t>
                  </w:r>
                </w:p>
              </w:tc>
              <w:tc>
                <w:tcPr>
                  <w:tcW w:w="1110" w:type="dxa"/>
                  <w:vAlign w:val="center"/>
                </w:tcPr>
                <w:p w14:paraId="1BB8F93C">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处理措施</w:t>
                  </w:r>
                </w:p>
              </w:tc>
              <w:tc>
                <w:tcPr>
                  <w:tcW w:w="3495" w:type="dxa"/>
                  <w:vAlign w:val="center"/>
                </w:tcPr>
                <w:p w14:paraId="223E3928">
                  <w:pPr>
                    <w:pStyle w:val="26"/>
                    <w:adjustRightInd/>
                    <w:spacing w:line="340" w:lineRule="exact"/>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二级活性炭吸附装置</w:t>
                  </w:r>
                </w:p>
              </w:tc>
              <w:tc>
                <w:tcPr>
                  <w:tcW w:w="1158" w:type="dxa"/>
                  <w:vMerge w:val="restart"/>
                  <w:vAlign w:val="center"/>
                </w:tcPr>
                <w:p w14:paraId="38D68491">
                  <w:pPr>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验收落实情况</w:t>
                  </w:r>
                </w:p>
              </w:tc>
            </w:tr>
            <w:tr w14:paraId="090FD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continue"/>
                  <w:vAlign w:val="center"/>
                </w:tcPr>
                <w:p w14:paraId="188BB8D6">
                  <w:pPr>
                    <w:pStyle w:val="26"/>
                    <w:adjustRightInd/>
                    <w:spacing w:line="340" w:lineRule="exact"/>
                    <w:jc w:val="center"/>
                    <w:rPr>
                      <w:rFonts w:hint="default" w:ascii="Times New Roman" w:hAnsi="Times New Roman" w:cs="Times New Roman"/>
                      <w:sz w:val="21"/>
                      <w:szCs w:val="21"/>
                      <w:highlight w:val="none"/>
                    </w:rPr>
                  </w:pPr>
                </w:p>
              </w:tc>
              <w:tc>
                <w:tcPr>
                  <w:tcW w:w="1290" w:type="dxa"/>
                  <w:vMerge w:val="continue"/>
                  <w:vAlign w:val="center"/>
                </w:tcPr>
                <w:p w14:paraId="433EA83C">
                  <w:pPr>
                    <w:pStyle w:val="26"/>
                    <w:adjustRightInd/>
                    <w:spacing w:line="340" w:lineRule="exact"/>
                    <w:jc w:val="center"/>
                    <w:rPr>
                      <w:rFonts w:hint="default" w:ascii="Times New Roman" w:hAnsi="Times New Roman" w:cs="Times New Roman"/>
                      <w:sz w:val="21"/>
                      <w:szCs w:val="21"/>
                      <w:highlight w:val="none"/>
                    </w:rPr>
                  </w:pPr>
                </w:p>
              </w:tc>
              <w:tc>
                <w:tcPr>
                  <w:tcW w:w="1110" w:type="dxa"/>
                  <w:vAlign w:val="center"/>
                </w:tcPr>
                <w:p w14:paraId="55C8CC01">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执行标准</w:t>
                  </w:r>
                </w:p>
              </w:tc>
              <w:tc>
                <w:tcPr>
                  <w:tcW w:w="3495" w:type="dxa"/>
                  <w:vAlign w:val="center"/>
                </w:tcPr>
                <w:p w14:paraId="134723C6">
                  <w:pPr>
                    <w:spacing w:line="340" w:lineRule="exact"/>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非甲烷总烃执行《印刷行业挥发性有机物排放标准》（DB 35/1784-2018）表1</w:t>
                  </w:r>
                  <w:r>
                    <w:rPr>
                      <w:rFonts w:hint="eastAsia" w:ascii="Times New Roman" w:hAnsi="Times New Roman" w:eastAsia="宋体" w:cs="Times New Roman"/>
                      <w:szCs w:val="21"/>
                      <w:highlight w:val="none"/>
                      <w:lang w:val="en-US" w:eastAsia="zh-CN"/>
                    </w:rPr>
                    <w:t>标准限值</w:t>
                  </w:r>
                </w:p>
              </w:tc>
              <w:tc>
                <w:tcPr>
                  <w:tcW w:w="1158" w:type="dxa"/>
                  <w:vMerge w:val="continue"/>
                  <w:vAlign w:val="center"/>
                </w:tcPr>
                <w:p w14:paraId="2B341B81">
                  <w:pPr>
                    <w:pStyle w:val="26"/>
                    <w:adjustRightInd/>
                    <w:spacing w:line="340" w:lineRule="exact"/>
                    <w:jc w:val="center"/>
                    <w:rPr>
                      <w:rFonts w:hint="default" w:ascii="Times New Roman" w:hAnsi="Times New Roman" w:cs="Times New Roman"/>
                      <w:sz w:val="21"/>
                      <w:szCs w:val="21"/>
                      <w:highlight w:val="none"/>
                    </w:rPr>
                  </w:pPr>
                </w:p>
              </w:tc>
            </w:tr>
            <w:tr w14:paraId="787D8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26" w:type="dxa"/>
                  <w:vMerge w:val="continue"/>
                  <w:vAlign w:val="center"/>
                </w:tcPr>
                <w:p w14:paraId="4B005D4D">
                  <w:pPr>
                    <w:pStyle w:val="26"/>
                    <w:adjustRightInd/>
                    <w:spacing w:line="340" w:lineRule="exact"/>
                    <w:jc w:val="center"/>
                    <w:rPr>
                      <w:rFonts w:hint="default" w:ascii="Times New Roman" w:hAnsi="Times New Roman" w:cs="Times New Roman"/>
                      <w:sz w:val="21"/>
                      <w:szCs w:val="21"/>
                      <w:highlight w:val="none"/>
                    </w:rPr>
                  </w:pPr>
                </w:p>
              </w:tc>
              <w:tc>
                <w:tcPr>
                  <w:tcW w:w="1290" w:type="dxa"/>
                  <w:vAlign w:val="center"/>
                </w:tcPr>
                <w:p w14:paraId="68083461">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厂界</w:t>
                  </w:r>
                </w:p>
              </w:tc>
              <w:tc>
                <w:tcPr>
                  <w:tcW w:w="1110" w:type="dxa"/>
                  <w:vAlign w:val="center"/>
                </w:tcPr>
                <w:p w14:paraId="1DCE4C2D">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执行标准</w:t>
                  </w:r>
                </w:p>
              </w:tc>
              <w:tc>
                <w:tcPr>
                  <w:tcW w:w="3495" w:type="dxa"/>
                  <w:vAlign w:val="center"/>
                </w:tcPr>
                <w:p w14:paraId="0E4D1326">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非甲烷总烃执行《印刷行业挥发性有机物排放标准》（DB 35/1784-2018）表</w:t>
                  </w:r>
                  <w:r>
                    <w:rPr>
                      <w:rFonts w:hint="eastAsia" w:ascii="Times New Roman" w:hAnsi="Times New Roman" w:eastAsia="宋体" w:cs="Times New Roman"/>
                      <w:sz w:val="21"/>
                      <w:szCs w:val="21"/>
                      <w:highlight w:val="none"/>
                      <w:lang w:val="en-US" w:eastAsia="zh-CN"/>
                    </w:rPr>
                    <w:t>2、表3</w:t>
                  </w:r>
                  <w:r>
                    <w:rPr>
                      <w:rFonts w:hint="default" w:ascii="Times New Roman" w:hAnsi="Times New Roman" w:cs="Times New Roman"/>
                      <w:sz w:val="21"/>
                      <w:szCs w:val="21"/>
                      <w:highlight w:val="none"/>
                    </w:rPr>
                    <w:t>标准限值</w:t>
                  </w:r>
                </w:p>
              </w:tc>
              <w:tc>
                <w:tcPr>
                  <w:tcW w:w="1158" w:type="dxa"/>
                  <w:vAlign w:val="center"/>
                </w:tcPr>
                <w:p w14:paraId="3DE44024">
                  <w:pPr>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验收落实情况</w:t>
                  </w:r>
                </w:p>
              </w:tc>
            </w:tr>
            <w:tr w14:paraId="169DC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26" w:type="dxa"/>
                  <w:vMerge w:val="continue"/>
                  <w:vAlign w:val="center"/>
                </w:tcPr>
                <w:p w14:paraId="15A0555E">
                  <w:pPr>
                    <w:pStyle w:val="26"/>
                    <w:adjustRightInd/>
                    <w:spacing w:line="340" w:lineRule="exact"/>
                    <w:jc w:val="center"/>
                    <w:rPr>
                      <w:rFonts w:hint="default" w:ascii="Times New Roman" w:hAnsi="Times New Roman" w:cs="Times New Roman"/>
                      <w:sz w:val="21"/>
                      <w:szCs w:val="21"/>
                      <w:highlight w:val="none"/>
                    </w:rPr>
                  </w:pPr>
                </w:p>
              </w:tc>
              <w:tc>
                <w:tcPr>
                  <w:tcW w:w="1290" w:type="dxa"/>
                  <w:vAlign w:val="center"/>
                </w:tcPr>
                <w:p w14:paraId="42F7AEF8">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厂区内</w:t>
                  </w:r>
                </w:p>
              </w:tc>
              <w:tc>
                <w:tcPr>
                  <w:tcW w:w="1110" w:type="dxa"/>
                  <w:vAlign w:val="center"/>
                </w:tcPr>
                <w:p w14:paraId="3300464C">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执行标准</w:t>
                  </w:r>
                </w:p>
              </w:tc>
              <w:tc>
                <w:tcPr>
                  <w:tcW w:w="3495" w:type="dxa"/>
                  <w:vAlign w:val="center"/>
                </w:tcPr>
                <w:p w14:paraId="2C95A229">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《挥发性有机物无组织排放控制标准》</w:t>
                  </w:r>
                  <w:r>
                    <w:rPr>
                      <w:rFonts w:hint="eastAsia" w:ascii="Times New Roman" w:hAnsi="Times New Roman" w:eastAsia="宋体" w:cs="Times New Roman"/>
                      <w:sz w:val="21"/>
                      <w:szCs w:val="21"/>
                      <w:highlight w:val="none"/>
                      <w:lang w:eastAsia="zh-CN"/>
                    </w:rPr>
                    <w:t>（GB 37822-2019）</w:t>
                  </w:r>
                  <w:r>
                    <w:rPr>
                      <w:rFonts w:hint="default" w:ascii="Times New Roman" w:hAnsi="Times New Roman" w:cs="Times New Roman"/>
                      <w:sz w:val="21"/>
                      <w:szCs w:val="21"/>
                      <w:highlight w:val="none"/>
                    </w:rPr>
                    <w:t>附录A标准限值</w:t>
                  </w:r>
                </w:p>
              </w:tc>
              <w:tc>
                <w:tcPr>
                  <w:tcW w:w="1158" w:type="dxa"/>
                  <w:vAlign w:val="center"/>
                </w:tcPr>
                <w:p w14:paraId="037ABC7D">
                  <w:pPr>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验收落实情况</w:t>
                  </w:r>
                </w:p>
              </w:tc>
            </w:tr>
            <w:tr w14:paraId="57FC0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6" w:type="dxa"/>
                  <w:gridSpan w:val="2"/>
                  <w:vMerge w:val="restart"/>
                  <w:vAlign w:val="center"/>
                </w:tcPr>
                <w:p w14:paraId="0851E95D">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噪声</w:t>
                  </w:r>
                </w:p>
              </w:tc>
              <w:tc>
                <w:tcPr>
                  <w:tcW w:w="1110" w:type="dxa"/>
                  <w:vAlign w:val="center"/>
                </w:tcPr>
                <w:p w14:paraId="497237DA">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处理措施</w:t>
                  </w:r>
                </w:p>
              </w:tc>
              <w:tc>
                <w:tcPr>
                  <w:tcW w:w="3495" w:type="dxa"/>
                  <w:vAlign w:val="center"/>
                </w:tcPr>
                <w:p w14:paraId="3DD58056">
                  <w:pPr>
                    <w:pStyle w:val="26"/>
                    <w:adjustRightInd/>
                    <w:spacing w:line="340" w:lineRule="exact"/>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选用低噪声设备；采取</w:t>
                  </w:r>
                  <w:r>
                    <w:rPr>
                      <w:rFonts w:hint="eastAsia" w:ascii="Times New Roman" w:hAnsi="Times New Roman" w:eastAsia="宋体" w:cs="Times New Roman"/>
                      <w:sz w:val="21"/>
                      <w:szCs w:val="21"/>
                      <w:highlight w:val="none"/>
                      <w:lang w:eastAsia="zh-CN"/>
                    </w:rPr>
                    <w:t>减振</w:t>
                  </w:r>
                  <w:r>
                    <w:rPr>
                      <w:rFonts w:hint="default" w:ascii="Times New Roman" w:hAnsi="Times New Roman" w:cs="Times New Roman"/>
                      <w:sz w:val="21"/>
                      <w:szCs w:val="21"/>
                      <w:highlight w:val="none"/>
                    </w:rPr>
                    <w:t>降噪措施；合理</w:t>
                  </w:r>
                  <w:r>
                    <w:rPr>
                      <w:rFonts w:hint="eastAsia" w:ascii="Times New Roman" w:hAnsi="Times New Roman" w:eastAsia="宋体" w:cs="Times New Roman"/>
                      <w:sz w:val="21"/>
                      <w:szCs w:val="21"/>
                      <w:highlight w:val="none"/>
                      <w:lang w:eastAsia="zh-CN"/>
                    </w:rPr>
                    <w:t>地</w:t>
                  </w:r>
                  <w:r>
                    <w:rPr>
                      <w:rFonts w:hint="default" w:ascii="Times New Roman" w:hAnsi="Times New Roman" w:cs="Times New Roman"/>
                      <w:sz w:val="21"/>
                      <w:szCs w:val="21"/>
                      <w:highlight w:val="none"/>
                    </w:rPr>
                    <w:t>布置设备；定期对设备进行检修和维护</w:t>
                  </w:r>
                </w:p>
              </w:tc>
              <w:tc>
                <w:tcPr>
                  <w:tcW w:w="1158" w:type="dxa"/>
                  <w:vMerge w:val="restart"/>
                  <w:vAlign w:val="center"/>
                </w:tcPr>
                <w:p w14:paraId="6ECD6080">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验收落实情况</w:t>
                  </w:r>
                </w:p>
              </w:tc>
            </w:tr>
            <w:tr w14:paraId="4D794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6" w:type="dxa"/>
                  <w:gridSpan w:val="2"/>
                  <w:vMerge w:val="continue"/>
                  <w:vAlign w:val="center"/>
                </w:tcPr>
                <w:p w14:paraId="7A48D285">
                  <w:pPr>
                    <w:pStyle w:val="26"/>
                    <w:adjustRightInd/>
                    <w:spacing w:line="340" w:lineRule="exact"/>
                    <w:jc w:val="center"/>
                    <w:rPr>
                      <w:rFonts w:hint="default" w:ascii="Times New Roman" w:hAnsi="Times New Roman" w:cs="Times New Roman"/>
                      <w:sz w:val="21"/>
                      <w:szCs w:val="21"/>
                      <w:highlight w:val="none"/>
                    </w:rPr>
                  </w:pPr>
                </w:p>
              </w:tc>
              <w:tc>
                <w:tcPr>
                  <w:tcW w:w="1110" w:type="dxa"/>
                  <w:vAlign w:val="center"/>
                </w:tcPr>
                <w:p w14:paraId="08E4A122">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执行标准</w:t>
                  </w:r>
                </w:p>
              </w:tc>
              <w:tc>
                <w:tcPr>
                  <w:tcW w:w="3495" w:type="dxa"/>
                  <w:vAlign w:val="center"/>
                </w:tcPr>
                <w:p w14:paraId="5B275E2D">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《工业企业厂界环境噪声排放标准》</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eastAsia="zh-CN"/>
                    </w:rPr>
                    <w:t>GB 12348-2008</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sz w:val="21"/>
                      <w:szCs w:val="21"/>
                      <w:highlight w:val="none"/>
                    </w:rPr>
                    <w:t>3类</w:t>
                  </w:r>
                </w:p>
              </w:tc>
              <w:tc>
                <w:tcPr>
                  <w:tcW w:w="1158" w:type="dxa"/>
                  <w:vMerge w:val="continue"/>
                  <w:vAlign w:val="center"/>
                </w:tcPr>
                <w:p w14:paraId="70BAE893">
                  <w:pPr>
                    <w:pStyle w:val="26"/>
                    <w:adjustRightInd/>
                    <w:spacing w:line="340" w:lineRule="exact"/>
                    <w:jc w:val="center"/>
                    <w:rPr>
                      <w:rFonts w:hint="default" w:ascii="Times New Roman" w:hAnsi="Times New Roman" w:cs="Times New Roman"/>
                      <w:sz w:val="21"/>
                      <w:szCs w:val="21"/>
                      <w:highlight w:val="none"/>
                    </w:rPr>
                  </w:pPr>
                </w:p>
              </w:tc>
            </w:tr>
            <w:tr w14:paraId="379E0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restart"/>
                  <w:vAlign w:val="center"/>
                </w:tcPr>
                <w:p w14:paraId="1EAD6335">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固体废物</w:t>
                  </w:r>
                </w:p>
              </w:tc>
              <w:tc>
                <w:tcPr>
                  <w:tcW w:w="1290" w:type="dxa"/>
                  <w:vAlign w:val="center"/>
                </w:tcPr>
                <w:p w14:paraId="7CC3BDE5">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一般工业固废</w:t>
                  </w:r>
                </w:p>
              </w:tc>
              <w:tc>
                <w:tcPr>
                  <w:tcW w:w="1110" w:type="dxa"/>
                  <w:vAlign w:val="center"/>
                </w:tcPr>
                <w:p w14:paraId="7C58EBA1">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处置措施</w:t>
                  </w:r>
                </w:p>
              </w:tc>
              <w:tc>
                <w:tcPr>
                  <w:tcW w:w="3495" w:type="dxa"/>
                  <w:vAlign w:val="center"/>
                </w:tcPr>
                <w:p w14:paraId="7A547FFD">
                  <w:pPr>
                    <w:autoSpaceDE w:val="0"/>
                    <w:autoSpaceDN w:val="0"/>
                    <w:spacing w:line="340" w:lineRule="exact"/>
                    <w:rPr>
                      <w:rFonts w:hint="default" w:ascii="Times New Roman" w:hAnsi="Times New Roman" w:cs="Times New Roman"/>
                      <w:szCs w:val="21"/>
                      <w:highlight w:val="none"/>
                    </w:rPr>
                  </w:pPr>
                  <w:r>
                    <w:rPr>
                      <w:rFonts w:hint="default" w:ascii="Times New Roman" w:hAnsi="Times New Roman" w:cs="Times New Roman"/>
                      <w:kern w:val="0"/>
                      <w:szCs w:val="21"/>
                      <w:highlight w:val="none"/>
                    </w:rPr>
                    <w:t>经收集后委托有主体资格和技术能力的单位处置</w:t>
                  </w:r>
                </w:p>
              </w:tc>
              <w:tc>
                <w:tcPr>
                  <w:tcW w:w="1158" w:type="dxa"/>
                  <w:vAlign w:val="center"/>
                </w:tcPr>
                <w:p w14:paraId="16BEFA88">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4F4A3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 w:type="dxa"/>
                  <w:vMerge w:val="continue"/>
                  <w:vAlign w:val="center"/>
                </w:tcPr>
                <w:p w14:paraId="32688ABA">
                  <w:pPr>
                    <w:pStyle w:val="26"/>
                    <w:adjustRightInd/>
                    <w:spacing w:line="340" w:lineRule="exact"/>
                    <w:jc w:val="center"/>
                    <w:rPr>
                      <w:rFonts w:hint="default" w:ascii="Times New Roman" w:hAnsi="Times New Roman" w:cs="Times New Roman"/>
                      <w:sz w:val="21"/>
                      <w:szCs w:val="21"/>
                      <w:highlight w:val="none"/>
                    </w:rPr>
                  </w:pPr>
                </w:p>
              </w:tc>
              <w:tc>
                <w:tcPr>
                  <w:tcW w:w="1290" w:type="dxa"/>
                  <w:vAlign w:val="center"/>
                </w:tcPr>
                <w:p w14:paraId="38C7C5AF">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危险废物</w:t>
                  </w:r>
                </w:p>
              </w:tc>
              <w:tc>
                <w:tcPr>
                  <w:tcW w:w="1110" w:type="dxa"/>
                  <w:vAlign w:val="center"/>
                </w:tcPr>
                <w:p w14:paraId="62F7A204">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处置措施</w:t>
                  </w:r>
                </w:p>
              </w:tc>
              <w:tc>
                <w:tcPr>
                  <w:tcW w:w="3495" w:type="dxa"/>
                  <w:vAlign w:val="center"/>
                </w:tcPr>
                <w:p w14:paraId="510F4C51">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lang w:val="en-US" w:eastAsia="zh-CN"/>
                    </w:rPr>
                    <w:t>危险废物</w:t>
                  </w:r>
                  <w:r>
                    <w:rPr>
                      <w:rFonts w:hint="default" w:ascii="Times New Roman" w:hAnsi="Times New Roman" w:cs="Times New Roman"/>
                      <w:sz w:val="21"/>
                      <w:szCs w:val="21"/>
                      <w:highlight w:val="none"/>
                    </w:rPr>
                    <w:t>集中收集后暂存于危废暂存间，定期委托有资质单位转运处置</w:t>
                  </w:r>
                </w:p>
              </w:tc>
              <w:tc>
                <w:tcPr>
                  <w:tcW w:w="1158" w:type="dxa"/>
                  <w:vAlign w:val="center"/>
                </w:tcPr>
                <w:p w14:paraId="52EFA999">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36409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426" w:type="dxa"/>
                  <w:vMerge w:val="continue"/>
                  <w:vAlign w:val="center"/>
                </w:tcPr>
                <w:p w14:paraId="14593723">
                  <w:pPr>
                    <w:pStyle w:val="26"/>
                    <w:adjustRightInd/>
                    <w:spacing w:line="340" w:lineRule="exact"/>
                    <w:jc w:val="center"/>
                    <w:rPr>
                      <w:rFonts w:hint="default" w:ascii="Times New Roman" w:hAnsi="Times New Roman" w:cs="Times New Roman"/>
                      <w:sz w:val="21"/>
                      <w:szCs w:val="21"/>
                      <w:highlight w:val="none"/>
                    </w:rPr>
                  </w:pPr>
                </w:p>
              </w:tc>
              <w:tc>
                <w:tcPr>
                  <w:tcW w:w="1290" w:type="dxa"/>
                  <w:vAlign w:val="center"/>
                </w:tcPr>
                <w:p w14:paraId="7A578C0A">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生活垃圾</w:t>
                  </w:r>
                </w:p>
              </w:tc>
              <w:tc>
                <w:tcPr>
                  <w:tcW w:w="1110" w:type="dxa"/>
                  <w:vAlign w:val="center"/>
                </w:tcPr>
                <w:p w14:paraId="0BA45971">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处置措施</w:t>
                  </w:r>
                </w:p>
              </w:tc>
              <w:tc>
                <w:tcPr>
                  <w:tcW w:w="3495" w:type="dxa"/>
                  <w:vAlign w:val="center"/>
                </w:tcPr>
                <w:p w14:paraId="3B07F6A1">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垃圾桶收集，委托环卫部门清运处置</w:t>
                  </w:r>
                </w:p>
              </w:tc>
              <w:tc>
                <w:tcPr>
                  <w:tcW w:w="1158" w:type="dxa"/>
                  <w:vAlign w:val="center"/>
                </w:tcPr>
                <w:p w14:paraId="3B8D4944">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r w14:paraId="03C8B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16" w:type="dxa"/>
                  <w:gridSpan w:val="2"/>
                  <w:vAlign w:val="center"/>
                </w:tcPr>
                <w:p w14:paraId="53002DC7">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其他</w:t>
                  </w:r>
                </w:p>
              </w:tc>
              <w:tc>
                <w:tcPr>
                  <w:tcW w:w="4605" w:type="dxa"/>
                  <w:gridSpan w:val="2"/>
                  <w:vAlign w:val="center"/>
                </w:tcPr>
                <w:p w14:paraId="48E91A56">
                  <w:pPr>
                    <w:pStyle w:val="26"/>
                    <w:adjustRightInd/>
                    <w:spacing w:line="340" w:lineRule="exact"/>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shd w:val="clear" w:color="auto" w:fill="FFFFFF"/>
                    </w:rPr>
                    <w:t>建立完善的环保管理制度，设立环境管理科；加强管理，促进清洁生产；做好污水、废气处理和固废处置的有关记录和管理工作，完善环境保护资料</w:t>
                  </w:r>
                </w:p>
              </w:tc>
              <w:tc>
                <w:tcPr>
                  <w:tcW w:w="1158" w:type="dxa"/>
                  <w:vAlign w:val="center"/>
                </w:tcPr>
                <w:p w14:paraId="31A4366D">
                  <w:pPr>
                    <w:pStyle w:val="26"/>
                    <w:adjustRightInd/>
                    <w:spacing w:line="340" w:lineRule="exact"/>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t>
                  </w:r>
                </w:p>
              </w:tc>
            </w:tr>
          </w:tbl>
          <w:p w14:paraId="1568E9B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5.4</w:t>
            </w:r>
            <w:r>
              <w:rPr>
                <w:rFonts w:hint="default" w:ascii="Times New Roman" w:hAnsi="Times New Roman" w:eastAsia="宋体" w:cs="Times New Roman"/>
                <w:b/>
                <w:bCs/>
                <w:sz w:val="24"/>
                <w:szCs w:val="24"/>
                <w:highlight w:val="none"/>
                <w:lang w:val="en-US" w:eastAsia="zh-CN"/>
              </w:rPr>
              <w:t xml:space="preserve"> 排污口规范化</w:t>
            </w:r>
          </w:p>
          <w:p w14:paraId="2813C52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建设项目应完成排污口规范建设，投资应纳入正常生产设备之中。各污染源排放口应设置专项图标，执行《环境图形标准排污口</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源</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GB</w:t>
            </w:r>
            <w:r>
              <w:rPr>
                <w:rFonts w:hint="eastAsia"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highlight w:val="none"/>
                <w:lang w:val="en-US" w:eastAsia="zh-CN"/>
              </w:rPr>
              <w:t>15563.1-1995</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，详见表5</w:t>
            </w:r>
            <w:r>
              <w:rPr>
                <w:rFonts w:hint="eastAsia" w:ascii="Times New Roman" w:hAnsi="Times New Roman" w:cs="Times New Roman"/>
                <w:sz w:val="24"/>
                <w:szCs w:val="24"/>
                <w:highlight w:val="none"/>
                <w:lang w:val="en-US" w:eastAsia="zh-CN"/>
              </w:rPr>
              <w:t>.4-1</w:t>
            </w:r>
            <w:r>
              <w:rPr>
                <w:rFonts w:hint="default" w:ascii="Times New Roman" w:hAnsi="Times New Roman" w:cs="Times New Roman"/>
                <w:sz w:val="24"/>
                <w:szCs w:val="24"/>
                <w:highlight w:val="none"/>
                <w:lang w:val="en-US" w:eastAsia="zh-CN"/>
              </w:rPr>
              <w:t>。要求各排污口</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源</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提示标志边框形状，背景颜色、图形颜色根据下表确定。标志牌应设在与之功能相应的醒目处，并保持清晰、完整。</w:t>
            </w:r>
          </w:p>
          <w:p w14:paraId="0B5459C6">
            <w:pPr>
              <w:adjustRightInd w:val="0"/>
              <w:snapToGrid w:val="0"/>
              <w:spacing w:line="360" w:lineRule="auto"/>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表5</w:t>
            </w:r>
            <w:r>
              <w:rPr>
                <w:rFonts w:hint="eastAsia" w:ascii="Times New Roman" w:hAnsi="Times New Roman" w:eastAsia="宋体" w:cs="Times New Roman"/>
                <w:b/>
                <w:bCs/>
                <w:sz w:val="24"/>
                <w:highlight w:val="none"/>
                <w:lang w:val="en-US" w:eastAsia="zh-CN"/>
              </w:rPr>
              <w:t>.4-1</w:t>
            </w:r>
            <w:r>
              <w:rPr>
                <w:rFonts w:hint="default" w:ascii="Times New Roman" w:hAnsi="Times New Roman" w:cs="Times New Roman"/>
                <w:b/>
                <w:bCs/>
                <w:sz w:val="24"/>
                <w:highlight w:val="none"/>
              </w:rPr>
              <w:t xml:space="preserve"> 排污口图形符号</w:t>
            </w:r>
            <w:r>
              <w:rPr>
                <w:rFonts w:hint="eastAsia" w:ascii="Times New Roman" w:hAnsi="Times New Roman" w:eastAsia="宋体" w:cs="Times New Roman"/>
                <w:b/>
                <w:bCs/>
                <w:sz w:val="24"/>
                <w:highlight w:val="none"/>
                <w:lang w:eastAsia="zh-CN"/>
              </w:rPr>
              <w:t>（</w:t>
            </w:r>
            <w:r>
              <w:rPr>
                <w:rFonts w:hint="default" w:ascii="Times New Roman" w:hAnsi="Times New Roman" w:cs="Times New Roman"/>
                <w:b/>
                <w:bCs/>
                <w:sz w:val="24"/>
                <w:highlight w:val="none"/>
              </w:rPr>
              <w:t>提示标志</w:t>
            </w:r>
            <w:r>
              <w:rPr>
                <w:rFonts w:hint="eastAsia" w:ascii="Times New Roman" w:hAnsi="Times New Roman" w:eastAsia="宋体" w:cs="Times New Roman"/>
                <w:b/>
                <w:bCs/>
                <w:sz w:val="24"/>
                <w:highlight w:val="none"/>
                <w:lang w:eastAsia="zh-CN"/>
              </w:rPr>
              <w:t>）</w:t>
            </w:r>
            <w:r>
              <w:rPr>
                <w:rFonts w:hint="default" w:ascii="Times New Roman" w:hAnsi="Times New Roman" w:cs="Times New Roman"/>
                <w:b/>
                <w:bCs/>
                <w:sz w:val="24"/>
                <w:highlight w:val="none"/>
              </w:rPr>
              <w:t>一览表</w:t>
            </w:r>
          </w:p>
          <w:tbl>
            <w:tblPr>
              <w:tblStyle w:val="17"/>
              <w:tblW w:w="4997"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84"/>
              <w:gridCol w:w="1432"/>
              <w:gridCol w:w="1432"/>
              <w:gridCol w:w="1432"/>
              <w:gridCol w:w="1581"/>
            </w:tblGrid>
            <w:tr w14:paraId="6CFA235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340" w:hRule="atLeast"/>
                <w:jc w:val="center"/>
              </w:trPr>
              <w:tc>
                <w:tcPr>
                  <w:tcW w:w="1061" w:type="pct"/>
                  <w:tcBorders>
                    <w:top w:val="single" w:color="auto" w:sz="12" w:space="0"/>
                    <w:left w:val="nil"/>
                    <w:bottom w:val="single" w:color="auto" w:sz="4" w:space="0"/>
                    <w:right w:val="single" w:color="auto" w:sz="4" w:space="0"/>
                  </w:tcBorders>
                  <w:noWrap w:val="0"/>
                  <w:vAlign w:val="center"/>
                </w:tcPr>
                <w:p w14:paraId="03FEF5A6">
                  <w:pPr>
                    <w:adjustRightInd w:val="0"/>
                    <w:snapToGrid w:val="0"/>
                    <w:spacing w:line="340" w:lineRule="exact"/>
                    <w:jc w:val="center"/>
                    <w:rPr>
                      <w:rFonts w:hint="default" w:ascii="Times New Roman" w:hAnsi="Times New Roman" w:eastAsia="宋体" w:cs="Times New Roman"/>
                      <w:szCs w:val="21"/>
                      <w:highlight w:val="none"/>
                      <w:lang w:val="en-GB" w:eastAsia="zh-CN"/>
                    </w:rPr>
                  </w:pPr>
                  <w:r>
                    <w:rPr>
                      <w:rFonts w:hint="default" w:ascii="Times New Roman" w:hAnsi="Times New Roman" w:cs="Times New Roman"/>
                      <w:szCs w:val="21"/>
                      <w:highlight w:val="none"/>
                      <w:lang w:val="en-US" w:eastAsia="zh-CN"/>
                    </w:rPr>
                    <w:t>名称</w:t>
                  </w:r>
                </w:p>
              </w:tc>
              <w:tc>
                <w:tcPr>
                  <w:tcW w:w="959" w:type="pct"/>
                  <w:tcBorders>
                    <w:top w:val="single" w:color="auto" w:sz="12" w:space="0"/>
                    <w:left w:val="single" w:color="auto" w:sz="4" w:space="0"/>
                    <w:bottom w:val="single" w:color="auto" w:sz="4" w:space="0"/>
                    <w:right w:val="single" w:color="auto" w:sz="4" w:space="0"/>
                  </w:tcBorders>
                  <w:noWrap w:val="0"/>
                  <w:vAlign w:val="center"/>
                </w:tcPr>
                <w:p w14:paraId="58CC2C36">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废</w:t>
                  </w:r>
                  <w:r>
                    <w:rPr>
                      <w:rFonts w:hint="default" w:ascii="Times New Roman" w:hAnsi="Times New Roman" w:cs="Times New Roman"/>
                      <w:szCs w:val="21"/>
                      <w:highlight w:val="none"/>
                    </w:rPr>
                    <w:t>水</w:t>
                  </w:r>
                  <w:r>
                    <w:rPr>
                      <w:rFonts w:hint="default" w:ascii="Times New Roman" w:hAnsi="Times New Roman" w:cs="Times New Roman"/>
                      <w:szCs w:val="21"/>
                      <w:highlight w:val="none"/>
                      <w:lang w:val="en-GB"/>
                    </w:rPr>
                    <w:t>排放口</w:t>
                  </w:r>
                </w:p>
              </w:tc>
              <w:tc>
                <w:tcPr>
                  <w:tcW w:w="959" w:type="pct"/>
                  <w:tcBorders>
                    <w:top w:val="single" w:color="auto" w:sz="12" w:space="0"/>
                    <w:left w:val="single" w:color="auto" w:sz="4" w:space="0"/>
                    <w:bottom w:val="single" w:color="auto" w:sz="4" w:space="0"/>
                    <w:right w:val="single" w:color="auto" w:sz="4" w:space="0"/>
                  </w:tcBorders>
                  <w:noWrap w:val="0"/>
                  <w:vAlign w:val="center"/>
                </w:tcPr>
                <w:p w14:paraId="3D229F07">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废气排放口</w:t>
                  </w:r>
                </w:p>
              </w:tc>
              <w:tc>
                <w:tcPr>
                  <w:tcW w:w="959" w:type="pct"/>
                  <w:tcBorders>
                    <w:top w:val="single" w:color="auto" w:sz="12" w:space="0"/>
                    <w:left w:val="single" w:color="auto" w:sz="4" w:space="0"/>
                    <w:bottom w:val="single" w:color="auto" w:sz="4" w:space="0"/>
                    <w:right w:val="single" w:color="auto" w:sz="4" w:space="0"/>
                  </w:tcBorders>
                  <w:noWrap w:val="0"/>
                  <w:vAlign w:val="center"/>
                </w:tcPr>
                <w:p w14:paraId="2BE20717">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噪声排放源</w:t>
                  </w:r>
                </w:p>
              </w:tc>
              <w:tc>
                <w:tcPr>
                  <w:tcW w:w="1059" w:type="pct"/>
                  <w:tcBorders>
                    <w:top w:val="single" w:color="auto" w:sz="12" w:space="0"/>
                    <w:left w:val="single" w:color="auto" w:sz="4" w:space="0"/>
                    <w:bottom w:val="single" w:color="auto" w:sz="4" w:space="0"/>
                    <w:right w:val="nil"/>
                  </w:tcBorders>
                  <w:noWrap w:val="0"/>
                  <w:vAlign w:val="center"/>
                </w:tcPr>
                <w:p w14:paraId="7D64D483">
                  <w:pPr>
                    <w:adjustRightInd w:val="0"/>
                    <w:snapToGrid w:val="0"/>
                    <w:spacing w:line="340" w:lineRule="exact"/>
                    <w:jc w:val="center"/>
                    <w:rPr>
                      <w:rFonts w:hint="default" w:ascii="Times New Roman" w:hAnsi="Times New Roman" w:eastAsia="宋体" w:cs="Times New Roman"/>
                      <w:szCs w:val="21"/>
                      <w:highlight w:val="none"/>
                      <w:lang w:val="en-GB" w:eastAsia="zh-CN"/>
                    </w:rPr>
                  </w:pPr>
                  <w:r>
                    <w:rPr>
                      <w:rFonts w:hint="default" w:ascii="Times New Roman" w:hAnsi="Times New Roman" w:cs="Times New Roman"/>
                      <w:szCs w:val="21"/>
                      <w:highlight w:val="none"/>
                      <w:lang w:val="en-US" w:eastAsia="zh-CN"/>
                    </w:rPr>
                    <w:t>一般固体废物</w:t>
                  </w:r>
                </w:p>
              </w:tc>
            </w:tr>
            <w:tr w14:paraId="093EDD2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79" w:hRule="atLeast"/>
                <w:jc w:val="center"/>
              </w:trPr>
              <w:tc>
                <w:tcPr>
                  <w:tcW w:w="1061" w:type="pct"/>
                  <w:tcBorders>
                    <w:top w:val="single" w:color="auto" w:sz="4" w:space="0"/>
                    <w:left w:val="nil"/>
                    <w:bottom w:val="single" w:color="auto" w:sz="4" w:space="0"/>
                    <w:right w:val="single" w:color="auto" w:sz="4" w:space="0"/>
                  </w:tcBorders>
                  <w:noWrap w:val="0"/>
                  <w:vAlign w:val="center"/>
                </w:tcPr>
                <w:p w14:paraId="6AEC41A2">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图形符号</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31CD991">
                  <w:pPr>
                    <w:adjustRightInd w:val="0"/>
                    <w:snapToGrid w:val="0"/>
                    <w:spacing w:line="340" w:lineRule="exact"/>
                    <w:jc w:val="both"/>
                    <w:rPr>
                      <w:rFonts w:hint="default" w:ascii="Times New Roman" w:hAnsi="Times New Roman" w:cs="Times New Roman"/>
                      <w:szCs w:val="21"/>
                      <w:highlight w:val="none"/>
                      <w:lang w:val="en-GB"/>
                    </w:rPr>
                  </w:pPr>
                  <w:r>
                    <w:rPr>
                      <w:rFonts w:hint="default" w:ascii="Times New Roman" w:hAnsi="Times New Roman" w:cs="Times New Roman"/>
                      <w:szCs w:val="21"/>
                      <w:highlight w:val="none"/>
                    </w:rPr>
                    <w:drawing>
                      <wp:anchor distT="0" distB="0" distL="114300" distR="114300" simplePos="0" relativeHeight="251664384" behindDoc="0" locked="0" layoutInCell="1" allowOverlap="1">
                        <wp:simplePos x="0" y="0"/>
                        <wp:positionH relativeFrom="column">
                          <wp:posOffset>12700</wp:posOffset>
                        </wp:positionH>
                        <wp:positionV relativeFrom="paragraph">
                          <wp:posOffset>57150</wp:posOffset>
                        </wp:positionV>
                        <wp:extent cx="720090" cy="720090"/>
                        <wp:effectExtent l="0" t="0" r="3810" b="3810"/>
                        <wp:wrapSquare wrapText="bothSides"/>
                        <wp:docPr id="14" name="图片 223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35" descr="点击看大图及详细资料"/>
                                <pic:cNvPicPr>
                                  <a:picLocks noChangeAspect="1"/>
                                </pic:cNvPicPr>
                              </pic:nvPicPr>
                              <pic:blipFill>
                                <a:blip r:embed="rId20"/>
                                <a:stretch>
                                  <a:fillRect/>
                                </a:stretch>
                              </pic:blipFill>
                              <pic:spPr>
                                <a:xfrm>
                                  <a:off x="0" y="0"/>
                                  <a:ext cx="720090" cy="720090"/>
                                </a:xfrm>
                                <a:prstGeom prst="rect">
                                  <a:avLst/>
                                </a:prstGeom>
                                <a:noFill/>
                                <a:ln>
                                  <a:noFill/>
                                </a:ln>
                              </pic:spPr>
                            </pic:pic>
                          </a:graphicData>
                        </a:graphic>
                      </wp:anchor>
                    </w:drawing>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2665ACE">
                  <w:pPr>
                    <w:adjustRightInd w:val="0"/>
                    <w:snapToGrid w:val="0"/>
                    <w:spacing w:line="34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drawing>
                      <wp:anchor distT="0" distB="0" distL="114300" distR="114300" simplePos="0" relativeHeight="251665408" behindDoc="0" locked="0" layoutInCell="1" allowOverlap="1">
                        <wp:simplePos x="0" y="0"/>
                        <wp:positionH relativeFrom="column">
                          <wp:posOffset>28575</wp:posOffset>
                        </wp:positionH>
                        <wp:positionV relativeFrom="paragraph">
                          <wp:posOffset>47625</wp:posOffset>
                        </wp:positionV>
                        <wp:extent cx="716280" cy="728345"/>
                        <wp:effectExtent l="0" t="0" r="7620" b="1460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716280" cy="728345"/>
                                </a:xfrm>
                                <a:prstGeom prst="rect">
                                  <a:avLst/>
                                </a:prstGeom>
                                <a:noFill/>
                                <a:ln>
                                  <a:noFill/>
                                </a:ln>
                              </pic:spPr>
                            </pic:pic>
                          </a:graphicData>
                        </a:graphic>
                      </wp:anchor>
                    </w:drawing>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315F6B7">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rPr>
                    <w:drawing>
                      <wp:anchor distT="0" distB="0" distL="114300" distR="114300" simplePos="0" relativeHeight="251663360" behindDoc="0" locked="0" layoutInCell="1" allowOverlap="1">
                        <wp:simplePos x="0" y="0"/>
                        <wp:positionH relativeFrom="page">
                          <wp:posOffset>102235</wp:posOffset>
                        </wp:positionH>
                        <wp:positionV relativeFrom="page">
                          <wp:posOffset>73025</wp:posOffset>
                        </wp:positionV>
                        <wp:extent cx="699135" cy="701040"/>
                        <wp:effectExtent l="0" t="0" r="5715" b="3810"/>
                        <wp:wrapSquare wrapText="bothSides"/>
                        <wp:docPr id="16" name="图片 4289"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289" descr="点击看大图及详细资料"/>
                                <pic:cNvPicPr>
                                  <a:picLocks noChangeAspect="1"/>
                                </pic:cNvPicPr>
                              </pic:nvPicPr>
                              <pic:blipFill>
                                <a:blip r:embed="rId22"/>
                                <a:stretch>
                                  <a:fillRect/>
                                </a:stretch>
                              </pic:blipFill>
                              <pic:spPr>
                                <a:xfrm>
                                  <a:off x="0" y="0"/>
                                  <a:ext cx="699135" cy="701040"/>
                                </a:xfrm>
                                <a:prstGeom prst="rect">
                                  <a:avLst/>
                                </a:prstGeom>
                                <a:noFill/>
                                <a:ln>
                                  <a:noFill/>
                                </a:ln>
                              </pic:spPr>
                            </pic:pic>
                          </a:graphicData>
                        </a:graphic>
                      </wp:anchor>
                    </w:drawing>
                  </w:r>
                </w:p>
              </w:tc>
              <w:tc>
                <w:tcPr>
                  <w:tcW w:w="1059" w:type="pct"/>
                  <w:tcBorders>
                    <w:top w:val="single" w:color="auto" w:sz="4" w:space="0"/>
                    <w:left w:val="single" w:color="auto" w:sz="4" w:space="0"/>
                    <w:bottom w:val="single" w:color="auto" w:sz="4" w:space="0"/>
                    <w:right w:val="nil"/>
                  </w:tcBorders>
                  <w:noWrap w:val="0"/>
                  <w:vAlign w:val="center"/>
                </w:tcPr>
                <w:p w14:paraId="4F57AEE3">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position w:val="-26"/>
                      <w:highlight w:val="none"/>
                    </w:rPr>
                    <w:drawing>
                      <wp:anchor distT="0" distB="0" distL="0" distR="0" simplePos="0" relativeHeight="251666432" behindDoc="1" locked="0" layoutInCell="1" allowOverlap="1">
                        <wp:simplePos x="0" y="0"/>
                        <wp:positionH relativeFrom="column">
                          <wp:posOffset>150495</wp:posOffset>
                        </wp:positionH>
                        <wp:positionV relativeFrom="paragraph">
                          <wp:posOffset>70485</wp:posOffset>
                        </wp:positionV>
                        <wp:extent cx="706120" cy="692150"/>
                        <wp:effectExtent l="0" t="0" r="17780" b="12700"/>
                        <wp:wrapTight wrapText="bothSides">
                          <wp:wrapPolygon>
                            <wp:start x="0" y="0"/>
                            <wp:lineTo x="0" y="20807"/>
                            <wp:lineTo x="20978" y="20807"/>
                            <wp:lineTo x="20978" y="0"/>
                            <wp:lineTo x="0" y="0"/>
                          </wp:wrapPolygon>
                        </wp:wrapTight>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3"/>
                                <a:stretch>
                                  <a:fillRect/>
                                </a:stretch>
                              </pic:blipFill>
                              <pic:spPr>
                                <a:xfrm>
                                  <a:off x="0" y="0"/>
                                  <a:ext cx="706120" cy="692150"/>
                                </a:xfrm>
                                <a:prstGeom prst="rect">
                                  <a:avLst/>
                                </a:prstGeom>
                              </pic:spPr>
                            </pic:pic>
                          </a:graphicData>
                        </a:graphic>
                      </wp:anchor>
                    </w:drawing>
                  </w:r>
                </w:p>
              </w:tc>
            </w:tr>
            <w:tr w14:paraId="59414A1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61" w:type="pct"/>
                  <w:tcBorders>
                    <w:top w:val="single" w:color="auto" w:sz="4" w:space="0"/>
                    <w:left w:val="nil"/>
                    <w:bottom w:val="single" w:color="auto" w:sz="4" w:space="0"/>
                    <w:right w:val="single" w:color="auto" w:sz="4" w:space="0"/>
                  </w:tcBorders>
                  <w:noWrap w:val="0"/>
                  <w:vAlign w:val="center"/>
                </w:tcPr>
                <w:p w14:paraId="509B682D">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形状</w:t>
                  </w:r>
                </w:p>
              </w:tc>
              <w:tc>
                <w:tcPr>
                  <w:tcW w:w="3938" w:type="pct"/>
                  <w:gridSpan w:val="4"/>
                  <w:tcBorders>
                    <w:top w:val="single" w:color="auto" w:sz="4" w:space="0"/>
                    <w:left w:val="single" w:color="auto" w:sz="4" w:space="0"/>
                    <w:bottom w:val="single" w:color="auto" w:sz="4" w:space="0"/>
                    <w:right w:val="nil"/>
                  </w:tcBorders>
                  <w:noWrap w:val="0"/>
                  <w:vAlign w:val="center"/>
                </w:tcPr>
                <w:p w14:paraId="0E6A9DF2">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正方形边框</w:t>
                  </w:r>
                </w:p>
              </w:tc>
            </w:tr>
            <w:tr w14:paraId="293DB5F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61" w:type="pct"/>
                  <w:tcBorders>
                    <w:top w:val="single" w:color="auto" w:sz="4" w:space="0"/>
                    <w:left w:val="nil"/>
                    <w:bottom w:val="single" w:color="auto" w:sz="4" w:space="0"/>
                    <w:right w:val="single" w:color="auto" w:sz="4" w:space="0"/>
                  </w:tcBorders>
                  <w:noWrap w:val="0"/>
                  <w:vAlign w:val="center"/>
                </w:tcPr>
                <w:p w14:paraId="5330ED31">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背景颜色</w:t>
                  </w:r>
                </w:p>
              </w:tc>
              <w:tc>
                <w:tcPr>
                  <w:tcW w:w="3938" w:type="pct"/>
                  <w:gridSpan w:val="4"/>
                  <w:tcBorders>
                    <w:top w:val="single" w:color="auto" w:sz="4" w:space="0"/>
                    <w:left w:val="single" w:color="auto" w:sz="4" w:space="0"/>
                    <w:bottom w:val="single" w:color="auto" w:sz="4" w:space="0"/>
                    <w:right w:val="nil"/>
                  </w:tcBorders>
                  <w:noWrap w:val="0"/>
                  <w:vAlign w:val="center"/>
                </w:tcPr>
                <w:p w14:paraId="2519635F">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绿色</w:t>
                  </w:r>
                </w:p>
              </w:tc>
            </w:tr>
            <w:tr w14:paraId="104B8898">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61" w:type="pct"/>
                  <w:tcBorders>
                    <w:top w:val="single" w:color="auto" w:sz="4" w:space="0"/>
                    <w:left w:val="nil"/>
                    <w:bottom w:val="single" w:color="auto" w:sz="4" w:space="0"/>
                    <w:right w:val="single" w:color="auto" w:sz="4" w:space="0"/>
                  </w:tcBorders>
                  <w:noWrap w:val="0"/>
                  <w:vAlign w:val="center"/>
                </w:tcPr>
                <w:p w14:paraId="7E72091B">
                  <w:pPr>
                    <w:adjustRightInd w:val="0"/>
                    <w:snapToGrid w:val="0"/>
                    <w:spacing w:line="340" w:lineRule="exact"/>
                    <w:jc w:val="center"/>
                    <w:rPr>
                      <w:rFonts w:hint="default" w:ascii="Times New Roman" w:hAnsi="Times New Roman" w:eastAsia="宋体" w:cs="Times New Roman"/>
                      <w:szCs w:val="21"/>
                      <w:highlight w:val="none"/>
                      <w:lang w:val="en-GB" w:eastAsia="zh-CN"/>
                    </w:rPr>
                  </w:pPr>
                  <w:r>
                    <w:rPr>
                      <w:rFonts w:hint="default" w:ascii="Times New Roman" w:hAnsi="Times New Roman" w:cs="Times New Roman"/>
                      <w:szCs w:val="21"/>
                      <w:highlight w:val="none"/>
                      <w:lang w:val="en-US" w:eastAsia="zh-CN"/>
                    </w:rPr>
                    <w:t>功能</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4F740DE9">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表示污水向水体排放</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31CA5642">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表示废气向大气环境排放</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5B332E2A">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表示噪声向外环境排放</w:t>
                  </w:r>
                </w:p>
              </w:tc>
              <w:tc>
                <w:tcPr>
                  <w:tcW w:w="1059" w:type="pct"/>
                  <w:tcBorders>
                    <w:top w:val="single" w:color="auto" w:sz="4" w:space="0"/>
                    <w:left w:val="single" w:color="auto" w:sz="4" w:space="0"/>
                    <w:bottom w:val="single" w:color="auto" w:sz="4" w:space="0"/>
                    <w:right w:val="nil"/>
                  </w:tcBorders>
                  <w:noWrap w:val="0"/>
                  <w:vAlign w:val="center"/>
                </w:tcPr>
                <w:p w14:paraId="0BB62F62">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表示一般固体废物</w:t>
                  </w:r>
                  <w:r>
                    <w:rPr>
                      <w:rFonts w:hint="default" w:ascii="Times New Roman" w:hAnsi="Times New Roman" w:cs="Times New Roman"/>
                      <w:szCs w:val="21"/>
                      <w:highlight w:val="none"/>
                      <w:lang w:val="en-US" w:eastAsia="zh-CN"/>
                    </w:rPr>
                    <w:t>的</w:t>
                  </w:r>
                  <w:r>
                    <w:rPr>
                      <w:rFonts w:hint="default" w:ascii="Times New Roman" w:hAnsi="Times New Roman" w:cs="Times New Roman"/>
                      <w:szCs w:val="21"/>
                      <w:highlight w:val="none"/>
                      <w:lang w:val="en-GB"/>
                    </w:rPr>
                    <w:t>贮存、处置场</w:t>
                  </w:r>
                </w:p>
              </w:tc>
            </w:tr>
            <w:tr w14:paraId="41A3738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1061" w:type="pct"/>
                  <w:tcBorders>
                    <w:top w:val="single" w:color="auto" w:sz="4" w:space="0"/>
                    <w:left w:val="nil"/>
                    <w:bottom w:val="single" w:color="auto" w:sz="4" w:space="0"/>
                    <w:right w:val="single" w:color="auto" w:sz="4" w:space="0"/>
                  </w:tcBorders>
                  <w:shd w:val="clear" w:color="auto" w:fill="auto"/>
                  <w:noWrap w:val="0"/>
                  <w:vAlign w:val="center"/>
                </w:tcPr>
                <w:p w14:paraId="3945CFBE">
                  <w:pPr>
                    <w:adjustRightInd w:val="0"/>
                    <w:snapToGrid w:val="0"/>
                    <w:spacing w:line="3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GB"/>
                    </w:rPr>
                    <w:t>图形符号</w:t>
                  </w:r>
                </w:p>
              </w:tc>
              <w:tc>
                <w:tcPr>
                  <w:tcW w:w="1919" w:type="pct"/>
                  <w:gridSpan w:val="2"/>
                  <w:tcBorders>
                    <w:top w:val="single" w:color="auto" w:sz="4" w:space="0"/>
                    <w:left w:val="single" w:color="auto" w:sz="4" w:space="0"/>
                    <w:bottom w:val="single" w:color="auto" w:sz="4" w:space="0"/>
                    <w:right w:val="single" w:color="auto" w:sz="4" w:space="0"/>
                  </w:tcBorders>
                  <w:noWrap w:val="0"/>
                  <w:vAlign w:val="center"/>
                </w:tcPr>
                <w:p w14:paraId="4B16BEDD">
                  <w:pPr>
                    <w:adjustRightInd w:val="0"/>
                    <w:snapToGrid w:val="0"/>
                    <w:spacing w:line="240" w:lineRule="auto"/>
                    <w:jc w:val="center"/>
                    <w:rPr>
                      <w:rFonts w:hint="default" w:ascii="Times New Roman" w:hAnsi="Times New Roman" w:cs="Times New Roman"/>
                      <w:szCs w:val="21"/>
                      <w:highlight w:val="none"/>
                      <w:lang w:val="en-GB"/>
                    </w:rPr>
                  </w:pPr>
                  <w:r>
                    <w:drawing>
                      <wp:inline distT="0" distB="0" distL="114300" distR="114300">
                        <wp:extent cx="1676400" cy="1073150"/>
                        <wp:effectExtent l="0" t="0" r="0" b="317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4"/>
                                <a:stretch>
                                  <a:fillRect/>
                                </a:stretch>
                              </pic:blipFill>
                              <pic:spPr>
                                <a:xfrm>
                                  <a:off x="0" y="0"/>
                                  <a:ext cx="1676400" cy="1073150"/>
                                </a:xfrm>
                                <a:prstGeom prst="rect">
                                  <a:avLst/>
                                </a:prstGeom>
                                <a:noFill/>
                                <a:ln>
                                  <a:noFill/>
                                </a:ln>
                              </pic:spPr>
                            </pic:pic>
                          </a:graphicData>
                        </a:graphic>
                      </wp:inline>
                    </w:drawing>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66826BA9">
                  <w:pPr>
                    <w:adjustRightInd w:val="0"/>
                    <w:snapToGrid w:val="0"/>
                    <w:spacing w:line="340" w:lineRule="exact"/>
                    <w:jc w:val="center"/>
                    <w:rPr>
                      <w:rFonts w:hint="default" w:ascii="Times New Roman" w:hAnsi="Times New Roman" w:cs="Times New Roman"/>
                      <w:szCs w:val="21"/>
                      <w:highlight w:val="none"/>
                      <w:lang w:val="en-GB"/>
                    </w:rPr>
                  </w:pPr>
                </w:p>
              </w:tc>
              <w:tc>
                <w:tcPr>
                  <w:tcW w:w="1059" w:type="pct"/>
                  <w:tcBorders>
                    <w:top w:val="single" w:color="auto" w:sz="4" w:space="0"/>
                    <w:left w:val="single" w:color="auto" w:sz="4" w:space="0"/>
                    <w:bottom w:val="single" w:color="auto" w:sz="4" w:space="0"/>
                    <w:right w:val="nil"/>
                  </w:tcBorders>
                  <w:noWrap w:val="0"/>
                  <w:vAlign w:val="center"/>
                </w:tcPr>
                <w:p w14:paraId="044C3E9A">
                  <w:pPr>
                    <w:adjustRightInd w:val="0"/>
                    <w:snapToGrid w:val="0"/>
                    <w:spacing w:line="340" w:lineRule="exact"/>
                    <w:jc w:val="center"/>
                    <w:rPr>
                      <w:rFonts w:hint="default" w:ascii="Times New Roman" w:hAnsi="Times New Roman" w:cs="Times New Roman"/>
                      <w:szCs w:val="21"/>
                      <w:highlight w:val="none"/>
                      <w:lang w:val="en-GB"/>
                    </w:rPr>
                  </w:pPr>
                </w:p>
              </w:tc>
            </w:tr>
            <w:tr w14:paraId="3539911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PrEx>
              <w:trPr>
                <w:cantSplit/>
                <w:trHeight w:val="340" w:hRule="atLeast"/>
                <w:jc w:val="center"/>
              </w:trPr>
              <w:tc>
                <w:tcPr>
                  <w:tcW w:w="1061" w:type="pct"/>
                  <w:tcBorders>
                    <w:top w:val="single" w:color="auto" w:sz="4" w:space="0"/>
                    <w:left w:val="nil"/>
                    <w:bottom w:val="single" w:color="auto" w:sz="4" w:space="0"/>
                    <w:right w:val="single" w:color="auto" w:sz="4" w:space="0"/>
                  </w:tcBorders>
                  <w:shd w:val="clear" w:color="auto" w:fill="auto"/>
                  <w:noWrap w:val="0"/>
                  <w:vAlign w:val="center"/>
                </w:tcPr>
                <w:p w14:paraId="7366037D">
                  <w:pPr>
                    <w:adjustRightInd w:val="0"/>
                    <w:snapToGrid w:val="0"/>
                    <w:spacing w:line="3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GB"/>
                    </w:rPr>
                    <w:t>形状</w:t>
                  </w:r>
                </w:p>
              </w:tc>
              <w:tc>
                <w:tcPr>
                  <w:tcW w:w="1919"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9C10B45">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三角形边框</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75C9F95C">
                  <w:pPr>
                    <w:adjustRightInd w:val="0"/>
                    <w:snapToGrid w:val="0"/>
                    <w:spacing w:line="340" w:lineRule="exact"/>
                    <w:jc w:val="center"/>
                    <w:rPr>
                      <w:rFonts w:hint="default" w:ascii="Times New Roman" w:hAnsi="Times New Roman" w:cs="Times New Roman"/>
                      <w:szCs w:val="21"/>
                      <w:highlight w:val="none"/>
                      <w:lang w:val="en-GB"/>
                    </w:rPr>
                  </w:pPr>
                </w:p>
              </w:tc>
              <w:tc>
                <w:tcPr>
                  <w:tcW w:w="1059" w:type="pct"/>
                  <w:tcBorders>
                    <w:top w:val="single" w:color="auto" w:sz="4" w:space="0"/>
                    <w:left w:val="single" w:color="auto" w:sz="4" w:space="0"/>
                    <w:bottom w:val="single" w:color="auto" w:sz="4" w:space="0"/>
                    <w:right w:val="nil"/>
                  </w:tcBorders>
                  <w:noWrap w:val="0"/>
                  <w:vAlign w:val="center"/>
                </w:tcPr>
                <w:p w14:paraId="03D6D59E">
                  <w:pPr>
                    <w:adjustRightInd w:val="0"/>
                    <w:snapToGrid w:val="0"/>
                    <w:spacing w:line="340" w:lineRule="exact"/>
                    <w:jc w:val="center"/>
                    <w:rPr>
                      <w:rFonts w:hint="default" w:ascii="Times New Roman" w:hAnsi="Times New Roman" w:cs="Times New Roman"/>
                      <w:szCs w:val="21"/>
                      <w:highlight w:val="none"/>
                      <w:lang w:val="en-GB"/>
                    </w:rPr>
                  </w:pPr>
                </w:p>
              </w:tc>
            </w:tr>
            <w:tr w14:paraId="4E23837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61" w:type="pct"/>
                  <w:tcBorders>
                    <w:top w:val="single" w:color="auto" w:sz="4" w:space="0"/>
                    <w:left w:val="nil"/>
                    <w:bottom w:val="single" w:color="auto" w:sz="4" w:space="0"/>
                    <w:right w:val="single" w:color="auto" w:sz="4" w:space="0"/>
                  </w:tcBorders>
                  <w:shd w:val="clear" w:color="auto" w:fill="auto"/>
                  <w:noWrap w:val="0"/>
                  <w:vAlign w:val="center"/>
                </w:tcPr>
                <w:p w14:paraId="1DB2C99B">
                  <w:pPr>
                    <w:adjustRightInd w:val="0"/>
                    <w:snapToGrid w:val="0"/>
                    <w:spacing w:line="3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GB"/>
                    </w:rPr>
                    <w:t>背景颜色</w:t>
                  </w:r>
                </w:p>
              </w:tc>
              <w:tc>
                <w:tcPr>
                  <w:tcW w:w="1919" w:type="pct"/>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FD751EB">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黄色</w:t>
                  </w:r>
                </w:p>
              </w:tc>
              <w:tc>
                <w:tcPr>
                  <w:tcW w:w="959" w:type="pct"/>
                  <w:tcBorders>
                    <w:top w:val="single" w:color="auto" w:sz="4" w:space="0"/>
                    <w:left w:val="single" w:color="auto" w:sz="4" w:space="0"/>
                    <w:bottom w:val="single" w:color="auto" w:sz="4" w:space="0"/>
                    <w:right w:val="single" w:color="auto" w:sz="4" w:space="0"/>
                  </w:tcBorders>
                  <w:noWrap w:val="0"/>
                  <w:vAlign w:val="center"/>
                </w:tcPr>
                <w:p w14:paraId="2C4B91FB">
                  <w:pPr>
                    <w:adjustRightInd w:val="0"/>
                    <w:snapToGrid w:val="0"/>
                    <w:spacing w:line="340" w:lineRule="exact"/>
                    <w:jc w:val="center"/>
                    <w:rPr>
                      <w:rFonts w:hint="default" w:ascii="Times New Roman" w:hAnsi="Times New Roman" w:cs="Times New Roman"/>
                      <w:szCs w:val="21"/>
                      <w:highlight w:val="none"/>
                      <w:lang w:val="en-GB"/>
                    </w:rPr>
                  </w:pPr>
                </w:p>
              </w:tc>
              <w:tc>
                <w:tcPr>
                  <w:tcW w:w="1059" w:type="pct"/>
                  <w:tcBorders>
                    <w:top w:val="single" w:color="auto" w:sz="4" w:space="0"/>
                    <w:left w:val="single" w:color="auto" w:sz="4" w:space="0"/>
                    <w:bottom w:val="single" w:color="auto" w:sz="4" w:space="0"/>
                    <w:right w:val="nil"/>
                  </w:tcBorders>
                  <w:noWrap w:val="0"/>
                  <w:vAlign w:val="center"/>
                </w:tcPr>
                <w:p w14:paraId="2D37292D">
                  <w:pPr>
                    <w:adjustRightInd w:val="0"/>
                    <w:snapToGrid w:val="0"/>
                    <w:spacing w:line="340" w:lineRule="exact"/>
                    <w:jc w:val="center"/>
                    <w:rPr>
                      <w:rFonts w:hint="default" w:ascii="Times New Roman" w:hAnsi="Times New Roman" w:cs="Times New Roman"/>
                      <w:szCs w:val="21"/>
                      <w:highlight w:val="none"/>
                      <w:lang w:val="en-GB"/>
                    </w:rPr>
                  </w:pPr>
                </w:p>
              </w:tc>
            </w:tr>
            <w:tr w14:paraId="01529F3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061" w:type="pct"/>
                  <w:tcBorders>
                    <w:top w:val="single" w:color="auto" w:sz="4" w:space="0"/>
                    <w:left w:val="nil"/>
                    <w:bottom w:val="single" w:color="auto" w:sz="12" w:space="0"/>
                    <w:right w:val="single" w:color="auto" w:sz="4" w:space="0"/>
                  </w:tcBorders>
                  <w:shd w:val="clear" w:color="auto" w:fill="auto"/>
                  <w:noWrap w:val="0"/>
                  <w:vAlign w:val="center"/>
                </w:tcPr>
                <w:p w14:paraId="3B92244C">
                  <w:pPr>
                    <w:adjustRightInd w:val="0"/>
                    <w:snapToGrid w:val="0"/>
                    <w:spacing w:line="3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功能</w:t>
                  </w:r>
                </w:p>
              </w:tc>
              <w:tc>
                <w:tcPr>
                  <w:tcW w:w="1919" w:type="pct"/>
                  <w:gridSpan w:val="2"/>
                  <w:tcBorders>
                    <w:top w:val="single" w:color="auto" w:sz="4" w:space="0"/>
                    <w:left w:val="single" w:color="auto" w:sz="4" w:space="0"/>
                    <w:bottom w:val="single" w:color="auto" w:sz="12" w:space="0"/>
                    <w:right w:val="single" w:color="auto" w:sz="4" w:space="0"/>
                  </w:tcBorders>
                  <w:noWrap w:val="0"/>
                  <w:vAlign w:val="center"/>
                </w:tcPr>
                <w:p w14:paraId="2649EC24">
                  <w:pPr>
                    <w:adjustRightInd w:val="0"/>
                    <w:snapToGrid w:val="0"/>
                    <w:spacing w:line="340" w:lineRule="exact"/>
                    <w:jc w:val="center"/>
                    <w:rPr>
                      <w:rFonts w:hint="default" w:ascii="Times New Roman" w:hAnsi="Times New Roman" w:cs="Times New Roman"/>
                      <w:szCs w:val="21"/>
                      <w:highlight w:val="none"/>
                      <w:lang w:val="en-GB"/>
                    </w:rPr>
                  </w:pPr>
                  <w:r>
                    <w:rPr>
                      <w:rFonts w:hint="default" w:ascii="Times New Roman" w:hAnsi="Times New Roman" w:cs="Times New Roman"/>
                      <w:szCs w:val="21"/>
                      <w:highlight w:val="none"/>
                      <w:lang w:val="en-GB"/>
                    </w:rPr>
                    <w:t>表示危险固体废物贮存场所</w:t>
                  </w:r>
                </w:p>
              </w:tc>
              <w:tc>
                <w:tcPr>
                  <w:tcW w:w="959" w:type="pct"/>
                  <w:tcBorders>
                    <w:top w:val="single" w:color="auto" w:sz="4" w:space="0"/>
                    <w:left w:val="single" w:color="auto" w:sz="4" w:space="0"/>
                    <w:bottom w:val="single" w:color="auto" w:sz="12" w:space="0"/>
                    <w:right w:val="single" w:color="auto" w:sz="4" w:space="0"/>
                  </w:tcBorders>
                  <w:noWrap w:val="0"/>
                  <w:vAlign w:val="center"/>
                </w:tcPr>
                <w:p w14:paraId="72F23A38">
                  <w:pPr>
                    <w:adjustRightInd w:val="0"/>
                    <w:snapToGrid w:val="0"/>
                    <w:spacing w:line="340" w:lineRule="exact"/>
                    <w:jc w:val="center"/>
                    <w:rPr>
                      <w:rFonts w:hint="default" w:ascii="Times New Roman" w:hAnsi="Times New Roman" w:cs="Times New Roman"/>
                      <w:szCs w:val="21"/>
                      <w:highlight w:val="none"/>
                      <w:lang w:val="en-GB"/>
                    </w:rPr>
                  </w:pPr>
                </w:p>
                <w:p w14:paraId="5B79521D"/>
              </w:tc>
              <w:tc>
                <w:tcPr>
                  <w:tcW w:w="1059" w:type="pct"/>
                  <w:tcBorders>
                    <w:top w:val="single" w:color="auto" w:sz="4" w:space="0"/>
                    <w:left w:val="single" w:color="auto" w:sz="4" w:space="0"/>
                    <w:bottom w:val="single" w:color="auto" w:sz="12" w:space="0"/>
                    <w:right w:val="nil"/>
                  </w:tcBorders>
                  <w:noWrap w:val="0"/>
                  <w:vAlign w:val="center"/>
                </w:tcPr>
                <w:p w14:paraId="6A6D66F5">
                  <w:pPr>
                    <w:adjustRightInd w:val="0"/>
                    <w:snapToGrid w:val="0"/>
                    <w:spacing w:line="340" w:lineRule="exact"/>
                    <w:jc w:val="center"/>
                    <w:rPr>
                      <w:rFonts w:hint="default" w:ascii="Times New Roman" w:hAnsi="Times New Roman" w:cs="Times New Roman"/>
                      <w:szCs w:val="21"/>
                      <w:highlight w:val="none"/>
                      <w:lang w:val="en-GB"/>
                    </w:rPr>
                  </w:pPr>
                </w:p>
              </w:tc>
            </w:tr>
          </w:tbl>
          <w:p w14:paraId="293114A2">
            <w:pPr>
              <w:rPr>
                <w:rFonts w:hint="default" w:ascii="Times New Roman" w:hAnsi="Times New Roman" w:cs="Times New Roman"/>
                <w:highlight w:val="none"/>
              </w:rPr>
            </w:pPr>
          </w:p>
          <w:p w14:paraId="0E4C373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eastAsia="宋体" w:cs="Times New Roman"/>
                <w:sz w:val="24"/>
                <w:szCs w:val="24"/>
                <w:highlight w:val="none"/>
                <w:lang w:val="en-US" w:eastAsia="zh-CN"/>
              </w:rPr>
            </w:pPr>
          </w:p>
          <w:p w14:paraId="6DEF5969">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cs="Times New Roman"/>
                <w:sz w:val="24"/>
                <w:szCs w:val="24"/>
                <w:highlight w:val="none"/>
              </w:rPr>
            </w:pPr>
          </w:p>
          <w:p w14:paraId="6868A1BB">
            <w:pPr>
              <w:rPr>
                <w:rFonts w:hint="eastAsia" w:ascii="宋体" w:hAnsi="宋体" w:eastAsia="宋体" w:cs="宋体"/>
                <w:sz w:val="24"/>
                <w:szCs w:val="24"/>
                <w:highlight w:val="none"/>
              </w:rPr>
            </w:pPr>
          </w:p>
          <w:p w14:paraId="13918E3E">
            <w:pPr>
              <w:rPr>
                <w:rFonts w:hint="eastAsia" w:ascii="宋体" w:hAnsi="宋体" w:eastAsia="宋体" w:cs="宋体"/>
                <w:sz w:val="24"/>
                <w:szCs w:val="24"/>
                <w:highlight w:val="none"/>
              </w:rPr>
            </w:pPr>
          </w:p>
          <w:p w14:paraId="1F265450">
            <w:pPr>
              <w:rPr>
                <w:rFonts w:hint="eastAsia" w:ascii="宋体" w:hAnsi="宋体" w:eastAsia="宋体" w:cs="宋体"/>
                <w:sz w:val="24"/>
                <w:szCs w:val="24"/>
                <w:highlight w:val="none"/>
              </w:rPr>
            </w:pPr>
          </w:p>
          <w:p w14:paraId="17C3B247">
            <w:pPr>
              <w:rPr>
                <w:rFonts w:hint="eastAsia" w:ascii="宋体" w:hAnsi="宋体" w:eastAsia="宋体" w:cs="宋体"/>
                <w:sz w:val="24"/>
                <w:szCs w:val="24"/>
                <w:highlight w:val="none"/>
              </w:rPr>
            </w:pPr>
          </w:p>
          <w:p w14:paraId="0FE67D02">
            <w:pPr>
              <w:rPr>
                <w:rFonts w:hint="eastAsia" w:ascii="宋体" w:hAnsi="宋体" w:eastAsia="宋体" w:cs="宋体"/>
                <w:sz w:val="24"/>
                <w:szCs w:val="24"/>
                <w:highlight w:val="none"/>
              </w:rPr>
            </w:pPr>
          </w:p>
        </w:tc>
      </w:tr>
    </w:tbl>
    <w:p w14:paraId="52865970">
      <w:pPr>
        <w:rPr>
          <w:rFonts w:ascii="Arial"/>
          <w:sz w:val="21"/>
          <w:highlight w:val="none"/>
        </w:rPr>
      </w:pPr>
    </w:p>
    <w:p w14:paraId="2520ADAA">
      <w:pPr>
        <w:rPr>
          <w:highlight w:val="none"/>
        </w:rPr>
        <w:sectPr>
          <w:pgSz w:w="11906" w:h="16839"/>
          <w:pgMar w:top="1431" w:right="1543" w:bottom="957" w:left="1539" w:header="0" w:footer="692" w:gutter="0"/>
          <w:pgBorders>
            <w:top w:val="none" w:sz="0" w:space="0"/>
            <w:left w:val="none" w:sz="0" w:space="0"/>
            <w:bottom w:val="none" w:sz="0" w:space="0"/>
            <w:right w:val="none" w:sz="0" w:space="0"/>
          </w:pgBorders>
          <w:pgNumType w:fmt="decimal"/>
          <w:cols w:space="720" w:num="1"/>
        </w:sectPr>
      </w:pPr>
    </w:p>
    <w:p w14:paraId="627002D3">
      <w:pPr>
        <w:pStyle w:val="14"/>
        <w:spacing w:before="0" w:beforeAutospacing="0" w:after="0" w:afterAutospacing="0"/>
        <w:jc w:val="center"/>
        <w:outlineLvl w:val="0"/>
        <w:rPr>
          <w:rFonts w:ascii="黑体" w:hAnsi="黑体" w:eastAsia="黑体"/>
          <w:snapToGrid w:val="0"/>
          <w:sz w:val="30"/>
          <w:szCs w:val="30"/>
          <w:highlight w:val="none"/>
        </w:rPr>
      </w:pPr>
      <w:bookmarkStart w:id="12" w:name="_Toc29777"/>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-935355</wp:posOffset>
            </wp:positionH>
            <wp:positionV relativeFrom="paragraph">
              <wp:posOffset>-823595</wp:posOffset>
            </wp:positionV>
            <wp:extent cx="7534910" cy="9678670"/>
            <wp:effectExtent l="0" t="0" r="8890" b="13970"/>
            <wp:wrapNone/>
            <wp:docPr id="105" name="图片 105" descr="1341456032042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3414560320421356"/>
                    <pic:cNvPicPr>
                      <a:picLocks noChangeAspect="1"/>
                    </pic:cNvPicPr>
                  </pic:nvPicPr>
                  <pic:blipFill>
                    <a:blip r:embed="rId25"/>
                    <a:srcRect b="8490"/>
                    <a:stretch>
                      <a:fillRect/>
                    </a:stretch>
                  </pic:blipFill>
                  <pic:spPr>
                    <a:xfrm>
                      <a:off x="0" y="0"/>
                      <a:ext cx="7534910" cy="9678670"/>
                    </a:xfrm>
                    <a:prstGeom prst="rect">
                      <a:avLst/>
                    </a:prstGeom>
                  </pic:spPr>
                </pic:pic>
              </a:graphicData>
            </a:graphic>
          </wp:anchor>
        </w:drawing>
      </w:r>
      <w:r>
        <w:rPr>
          <w:rFonts w:hint="eastAsia" w:ascii="黑体" w:hAnsi="黑体" w:eastAsia="黑体"/>
          <w:snapToGrid w:val="0"/>
          <w:sz w:val="30"/>
          <w:szCs w:val="30"/>
          <w:highlight w:val="none"/>
        </w:rPr>
        <w:t>六、结论</w:t>
      </w:r>
      <w:bookmarkEnd w:id="1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AF1A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6" w:hRule="atLeast"/>
          <w:jc w:val="center"/>
        </w:trPr>
        <w:tc>
          <w:tcPr>
            <w:tcW w:w="8865" w:type="dxa"/>
          </w:tcPr>
          <w:p w14:paraId="0F79E6D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绿生源户外用品有限公司投资建设的户外用品生产项目，其投资规划紧密契合国家当前的产业发展导向；项目位于泉州市永春县蓬壶镇蓬壶工业园29号，项目选址合理，满足所有相关规划标准；在严格遵循国家及地方环境保护法律法规的前提下，确保项目建设和运营期间全面执行本环境影响评价所制定的污染防治与风险防控措施，实现污染物排放达标并满足总量控制指标，则此项目的正常实施与运营对周边环境的潜在影响将被有效控制在较低水平。综上所述，从环境保护的角度评估，该项目的建设具备充分的可行性。</w:t>
            </w:r>
          </w:p>
          <w:p w14:paraId="52989ABE">
            <w:pPr>
              <w:spacing w:line="360" w:lineRule="auto"/>
              <w:rPr>
                <w:rFonts w:ascii="宋体" w:cs="宋体"/>
                <w:sz w:val="24"/>
                <w:highlight w:val="none"/>
              </w:rPr>
            </w:pPr>
          </w:p>
          <w:p w14:paraId="43755B6A">
            <w:pPr>
              <w:spacing w:line="360" w:lineRule="auto"/>
              <w:rPr>
                <w:rFonts w:ascii="宋体" w:cs="宋体"/>
                <w:sz w:val="24"/>
                <w:highlight w:val="none"/>
              </w:rPr>
            </w:pPr>
          </w:p>
          <w:p w14:paraId="0840DD09">
            <w:pPr>
              <w:spacing w:line="360" w:lineRule="auto"/>
              <w:rPr>
                <w:rFonts w:hint="default" w:ascii="Times New Roman" w:hAnsi="Times New Roman" w:cs="Times New Roman"/>
                <w:sz w:val="24"/>
                <w:highlight w:val="none"/>
              </w:rPr>
            </w:pPr>
          </w:p>
          <w:p w14:paraId="3B6C487C">
            <w:pPr>
              <w:autoSpaceDE w:val="0"/>
              <w:autoSpaceDN w:val="0"/>
              <w:adjustRightInd w:val="0"/>
              <w:snapToGrid w:val="0"/>
              <w:spacing w:line="360" w:lineRule="auto"/>
              <w:jc w:val="right"/>
              <w:rPr>
                <w:rFonts w:hint="default" w:ascii="Times New Roman" w:hAnsi="Times New Roman"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福证通（福州市）</w:t>
            </w:r>
            <w:r>
              <w:rPr>
                <w:rFonts w:hint="default" w:ascii="Times New Roman" w:hAnsi="Times New Roman" w:cs="Times New Roman"/>
                <w:b/>
                <w:color w:val="000000" w:themeColor="text1"/>
                <w:sz w:val="28"/>
                <w:szCs w:val="28"/>
                <w:highlight w:val="none"/>
                <w14:textFill>
                  <w14:solidFill>
                    <w14:schemeClr w14:val="tx1"/>
                  </w14:solidFill>
                </w14:textFill>
              </w:rPr>
              <w:t>环保</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科技</w:t>
            </w:r>
            <w:r>
              <w:rPr>
                <w:rFonts w:hint="default" w:ascii="Times New Roman" w:hAnsi="Times New Roman" w:cs="Times New Roman"/>
                <w:b/>
                <w:color w:val="000000" w:themeColor="text1"/>
                <w:sz w:val="28"/>
                <w:szCs w:val="28"/>
                <w:highlight w:val="none"/>
                <w14:textFill>
                  <w14:solidFill>
                    <w14:schemeClr w14:val="tx1"/>
                  </w14:solidFill>
                </w14:textFill>
              </w:rPr>
              <w:t>有限公司</w:t>
            </w:r>
          </w:p>
          <w:p w14:paraId="442588F3">
            <w:pPr>
              <w:autoSpaceDE w:val="0"/>
              <w:autoSpaceDN w:val="0"/>
              <w:adjustRightInd w:val="0"/>
              <w:snapToGrid w:val="0"/>
              <w:spacing w:line="360" w:lineRule="auto"/>
              <w:jc w:val="right"/>
              <w:rPr>
                <w:rFonts w:hint="default" w:ascii="Times New Roman" w:hAnsi="Times New Roman" w:cs="Times New Roman"/>
                <w:b/>
                <w:sz w:val="28"/>
                <w:szCs w:val="28"/>
                <w:highlight w:val="none"/>
              </w:rPr>
            </w:pPr>
            <w:r>
              <w:rPr>
                <w:rFonts w:hint="default" w:ascii="Times New Roman" w:hAnsi="Times New Roman" w:cs="Times New Roman"/>
                <w:b/>
                <w:sz w:val="28"/>
                <w:szCs w:val="28"/>
                <w:highlight w:val="none"/>
              </w:rPr>
              <w:t>202</w:t>
            </w:r>
            <w:r>
              <w:rPr>
                <w:rFonts w:hint="eastAsia" w:ascii="Times New Roman" w:hAnsi="Times New Roman" w:eastAsia="宋体" w:cs="Times New Roman"/>
                <w:b/>
                <w:sz w:val="28"/>
                <w:szCs w:val="28"/>
                <w:highlight w:val="none"/>
                <w:lang w:val="en-US" w:eastAsia="zh-CN"/>
              </w:rPr>
              <w:t>6</w:t>
            </w:r>
            <w:r>
              <w:rPr>
                <w:rFonts w:hint="default" w:ascii="Times New Roman" w:hAnsi="Times New Roman" w:cs="Times New Roman"/>
                <w:b/>
                <w:sz w:val="28"/>
                <w:szCs w:val="28"/>
                <w:highlight w:val="none"/>
              </w:rPr>
              <w:t>年</w:t>
            </w:r>
            <w:r>
              <w:rPr>
                <w:rFonts w:hint="eastAsia" w:ascii="Times New Roman" w:hAnsi="Times New Roman" w:eastAsia="宋体" w:cs="Times New Roman"/>
                <w:b/>
                <w:sz w:val="28"/>
                <w:szCs w:val="28"/>
                <w:highlight w:val="none"/>
                <w:lang w:val="en-US" w:eastAsia="zh-CN"/>
              </w:rPr>
              <w:t>2</w:t>
            </w:r>
            <w:r>
              <w:rPr>
                <w:rFonts w:hint="default" w:ascii="Times New Roman" w:hAnsi="Times New Roman" w:cs="Times New Roman"/>
                <w:b/>
                <w:sz w:val="28"/>
                <w:szCs w:val="28"/>
                <w:highlight w:val="none"/>
              </w:rPr>
              <w:t>月</w:t>
            </w:r>
          </w:p>
          <w:p w14:paraId="6F03AC30">
            <w:pPr>
              <w:spacing w:line="360" w:lineRule="auto"/>
              <w:rPr>
                <w:rFonts w:ascii="宋体" w:cs="宋体"/>
                <w:sz w:val="24"/>
                <w:highlight w:val="none"/>
              </w:rPr>
            </w:pPr>
          </w:p>
        </w:tc>
      </w:tr>
    </w:tbl>
    <w:p w14:paraId="2EB3A8B0">
      <w:pPr>
        <w:rPr>
          <w:highlight w:val="none"/>
        </w:rPr>
        <w:sectPr>
          <w:pgSz w:w="11906" w:h="16839"/>
          <w:pgMar w:top="1431" w:right="1511" w:bottom="957" w:left="1510" w:header="0" w:footer="692" w:gutter="0"/>
          <w:pgBorders>
            <w:top w:val="none" w:sz="0" w:space="0"/>
            <w:left w:val="none" w:sz="0" w:space="0"/>
            <w:bottom w:val="none" w:sz="0" w:space="0"/>
            <w:right w:val="none" w:sz="0" w:space="0"/>
          </w:pgBorders>
          <w:pgNumType w:fmt="decimal"/>
          <w:cols w:space="720" w:num="1"/>
        </w:sectPr>
      </w:pPr>
    </w:p>
    <w:p w14:paraId="4550D07D">
      <w:pPr>
        <w:spacing w:line="317" w:lineRule="auto"/>
        <w:rPr>
          <w:rFonts w:ascii="黑体" w:hAnsi="黑体" w:eastAsia="黑体" w:cs="黑体"/>
          <w:sz w:val="31"/>
          <w:szCs w:val="31"/>
          <w:highlight w:val="none"/>
        </w:rPr>
      </w:pPr>
      <w:r>
        <w:rPr>
          <w:rFonts w:ascii="黑体" w:hAnsi="黑体" w:eastAsia="黑体" w:cs="黑体"/>
          <w:spacing w:val="-6"/>
          <w:sz w:val="31"/>
          <w:szCs w:val="31"/>
          <w:highlight w:val="none"/>
        </w:rPr>
        <w:t>附表</w:t>
      </w:r>
    </w:p>
    <w:p w14:paraId="66328DD3">
      <w:pPr>
        <w:spacing w:line="341" w:lineRule="auto"/>
        <w:rPr>
          <w:rFonts w:ascii="Arial"/>
          <w:sz w:val="21"/>
          <w:highlight w:val="none"/>
        </w:rPr>
      </w:pPr>
    </w:p>
    <w:p w14:paraId="5E349E51">
      <w:pPr>
        <w:spacing w:line="342" w:lineRule="auto"/>
        <w:rPr>
          <w:rFonts w:ascii="Arial"/>
          <w:sz w:val="21"/>
          <w:highlight w:val="none"/>
        </w:rPr>
      </w:pPr>
    </w:p>
    <w:p w14:paraId="20450E2F">
      <w:pPr>
        <w:spacing w:before="159" w:line="177" w:lineRule="auto"/>
        <w:ind w:left="4468"/>
        <w:outlineLvl w:val="9"/>
        <w:rPr>
          <w:rFonts w:ascii="微软雅黑" w:hAnsi="微软雅黑" w:eastAsia="微软雅黑" w:cs="微软雅黑"/>
          <w:sz w:val="37"/>
          <w:szCs w:val="37"/>
          <w:highlight w:val="none"/>
        </w:rPr>
      </w:pPr>
      <w:r>
        <w:rPr>
          <w:rFonts w:ascii="微软雅黑" w:hAnsi="微软雅黑" w:eastAsia="微软雅黑" w:cs="微软雅黑"/>
          <w:spacing w:val="9"/>
          <w:sz w:val="37"/>
          <w:szCs w:val="37"/>
          <w:highlight w:val="none"/>
        </w:rPr>
        <w:t>建设项目污染物排放量汇总</w:t>
      </w:r>
      <w:r>
        <w:rPr>
          <w:rFonts w:ascii="微软雅黑" w:hAnsi="微软雅黑" w:eastAsia="微软雅黑" w:cs="微软雅黑"/>
          <w:spacing w:val="8"/>
          <w:sz w:val="37"/>
          <w:szCs w:val="37"/>
          <w:highlight w:val="none"/>
        </w:rPr>
        <w:t>表</w:t>
      </w:r>
    </w:p>
    <w:p w14:paraId="740C0505">
      <w:pPr>
        <w:spacing w:line="171" w:lineRule="exact"/>
        <w:rPr>
          <w:highlight w:val="none"/>
        </w:rPr>
      </w:pPr>
    </w:p>
    <w:tbl>
      <w:tblPr>
        <w:tblStyle w:val="21"/>
        <w:tblW w:w="13792"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2"/>
        <w:gridCol w:w="1606"/>
        <w:gridCol w:w="1442"/>
        <w:gridCol w:w="1275"/>
        <w:gridCol w:w="1699"/>
        <w:gridCol w:w="1557"/>
        <w:gridCol w:w="1759"/>
        <w:gridCol w:w="1957"/>
        <w:gridCol w:w="835"/>
      </w:tblGrid>
      <w:tr w14:paraId="07F6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1662" w:type="dxa"/>
            <w:tcBorders>
              <w:left w:val="single" w:color="000000" w:sz="6" w:space="0"/>
              <w:tl2br w:val="single" w:color="000000" w:sz="4" w:space="0"/>
            </w:tcBorders>
            <w:vAlign w:val="center"/>
          </w:tcPr>
          <w:p w14:paraId="77933E36">
            <w:pPr>
              <w:spacing w:before="193" w:line="230" w:lineRule="auto"/>
              <w:ind w:right="18"/>
              <w:jc w:val="right"/>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项目</w:t>
            </w:r>
          </w:p>
          <w:p w14:paraId="07CE9DE0">
            <w:pPr>
              <w:spacing w:before="22" w:line="229" w:lineRule="auto"/>
              <w:ind w:left="35"/>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3"/>
                <w:sz w:val="20"/>
                <w:szCs w:val="20"/>
                <w:highlight w:val="none"/>
              </w:rPr>
              <w:t>分</w:t>
            </w:r>
            <w:r>
              <w:rPr>
                <w:rFonts w:hint="default" w:ascii="Times New Roman" w:hAnsi="Times New Roman" w:eastAsia="黑体" w:cs="Times New Roman"/>
                <w:spacing w:val="-2"/>
                <w:sz w:val="20"/>
                <w:szCs w:val="20"/>
                <w:highlight w:val="none"/>
              </w:rPr>
              <w:t>类</w:t>
            </w:r>
          </w:p>
        </w:tc>
        <w:tc>
          <w:tcPr>
            <w:tcW w:w="1606" w:type="dxa"/>
            <w:vAlign w:val="center"/>
          </w:tcPr>
          <w:p w14:paraId="26595FD1">
            <w:pPr>
              <w:spacing w:before="65"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3"/>
                <w:sz w:val="20"/>
                <w:szCs w:val="20"/>
                <w:highlight w:val="none"/>
              </w:rPr>
              <w:t>污</w:t>
            </w:r>
            <w:r>
              <w:rPr>
                <w:rFonts w:hint="default" w:ascii="Times New Roman" w:hAnsi="Times New Roman" w:eastAsia="黑体" w:cs="Times New Roman"/>
                <w:spacing w:val="-2"/>
                <w:sz w:val="20"/>
                <w:szCs w:val="20"/>
                <w:highlight w:val="none"/>
              </w:rPr>
              <w:t>染物名称</w:t>
            </w:r>
          </w:p>
        </w:tc>
        <w:tc>
          <w:tcPr>
            <w:tcW w:w="1442" w:type="dxa"/>
            <w:vAlign w:val="center"/>
          </w:tcPr>
          <w:p w14:paraId="0A9EB3E7">
            <w:pPr>
              <w:spacing w:before="56" w:line="230" w:lineRule="auto"/>
              <w:jc w:val="center"/>
              <w:rPr>
                <w:rFonts w:hint="default" w:ascii="Times New Roman" w:hAnsi="Times New Roman" w:eastAsia="黑体" w:cs="Times New Roman"/>
                <w:spacing w:val="-1"/>
                <w:sz w:val="20"/>
                <w:szCs w:val="20"/>
                <w:highlight w:val="none"/>
              </w:rPr>
            </w:pPr>
            <w:r>
              <w:rPr>
                <w:rFonts w:hint="default" w:ascii="Times New Roman" w:hAnsi="Times New Roman" w:eastAsia="黑体" w:cs="Times New Roman"/>
                <w:spacing w:val="-1"/>
                <w:sz w:val="20"/>
                <w:szCs w:val="20"/>
                <w:highlight w:val="none"/>
              </w:rPr>
              <w:t>现有工程</w:t>
            </w:r>
          </w:p>
          <w:p w14:paraId="026EC00E">
            <w:pPr>
              <w:spacing w:before="56"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2"/>
                <w:sz w:val="20"/>
                <w:szCs w:val="20"/>
                <w:highlight w:val="none"/>
              </w:rPr>
              <w:t>排放</w:t>
            </w:r>
            <w:r>
              <w:rPr>
                <w:rFonts w:hint="default" w:ascii="Times New Roman" w:hAnsi="Times New Roman" w:eastAsia="黑体" w:cs="Times New Roman"/>
                <w:spacing w:val="-1"/>
                <w:sz w:val="20"/>
                <w:szCs w:val="20"/>
                <w:highlight w:val="none"/>
              </w:rPr>
              <w:t>量</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固体废物产生量</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①</w:t>
            </w:r>
          </w:p>
        </w:tc>
        <w:tc>
          <w:tcPr>
            <w:tcW w:w="1275" w:type="dxa"/>
            <w:vAlign w:val="center"/>
          </w:tcPr>
          <w:p w14:paraId="06A018B8">
            <w:pPr>
              <w:spacing w:before="46"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1"/>
                <w:sz w:val="20"/>
                <w:szCs w:val="20"/>
                <w:highlight w:val="none"/>
              </w:rPr>
              <w:t>现有工程</w:t>
            </w:r>
          </w:p>
          <w:p w14:paraId="68521A6D">
            <w:pPr>
              <w:spacing w:before="22"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2"/>
                <w:sz w:val="20"/>
                <w:szCs w:val="20"/>
                <w:highlight w:val="none"/>
              </w:rPr>
              <w:t>许可</w:t>
            </w:r>
            <w:r>
              <w:rPr>
                <w:rFonts w:hint="default" w:ascii="Times New Roman" w:hAnsi="Times New Roman" w:eastAsia="黑体" w:cs="Times New Roman"/>
                <w:spacing w:val="-1"/>
                <w:sz w:val="20"/>
                <w:szCs w:val="20"/>
                <w:highlight w:val="none"/>
              </w:rPr>
              <w:t>排放量</w:t>
            </w:r>
          </w:p>
          <w:p w14:paraId="54BFDEC6">
            <w:pPr>
              <w:spacing w:before="21" w:line="229" w:lineRule="auto"/>
              <w:ind w:left="543" w:leftChars="0"/>
              <w:jc w:val="both"/>
              <w:rPr>
                <w:rFonts w:hint="default" w:ascii="Times New Roman" w:hAnsi="Times New Roman" w:eastAsia="黑体" w:cs="Times New Roman"/>
                <w:sz w:val="20"/>
                <w:szCs w:val="20"/>
                <w:highlight w:val="none"/>
              </w:rPr>
            </w:pPr>
            <w:r>
              <w:rPr>
                <w:rFonts w:hint="default" w:ascii="Times New Roman" w:hAnsi="Times New Roman" w:eastAsia="黑体" w:cs="Times New Roman"/>
                <w:sz w:val="20"/>
                <w:szCs w:val="20"/>
                <w:highlight w:val="none"/>
              </w:rPr>
              <w:t>②</w:t>
            </w:r>
          </w:p>
        </w:tc>
        <w:tc>
          <w:tcPr>
            <w:tcW w:w="1699" w:type="dxa"/>
            <w:vAlign w:val="center"/>
          </w:tcPr>
          <w:p w14:paraId="50A87660">
            <w:pPr>
              <w:spacing w:before="56"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1"/>
                <w:sz w:val="20"/>
                <w:szCs w:val="20"/>
                <w:highlight w:val="none"/>
              </w:rPr>
              <w:t>在建</w:t>
            </w:r>
            <w:r>
              <w:rPr>
                <w:rFonts w:hint="default" w:ascii="Times New Roman" w:hAnsi="Times New Roman" w:eastAsia="黑体" w:cs="Times New Roman"/>
                <w:sz w:val="20"/>
                <w:szCs w:val="20"/>
                <w:highlight w:val="none"/>
              </w:rPr>
              <w:t>工程</w:t>
            </w:r>
          </w:p>
          <w:p w14:paraId="73E66076">
            <w:pPr>
              <w:spacing w:before="22"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2"/>
                <w:sz w:val="20"/>
                <w:szCs w:val="20"/>
                <w:highlight w:val="none"/>
              </w:rPr>
              <w:t>排放</w:t>
            </w:r>
            <w:r>
              <w:rPr>
                <w:rFonts w:hint="default" w:ascii="Times New Roman" w:hAnsi="Times New Roman" w:eastAsia="黑体" w:cs="Times New Roman"/>
                <w:spacing w:val="-1"/>
                <w:sz w:val="20"/>
                <w:szCs w:val="20"/>
                <w:highlight w:val="none"/>
              </w:rPr>
              <w:t>量</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固体废物产生量</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③</w:t>
            </w:r>
          </w:p>
        </w:tc>
        <w:tc>
          <w:tcPr>
            <w:tcW w:w="1557" w:type="dxa"/>
            <w:vAlign w:val="center"/>
          </w:tcPr>
          <w:p w14:paraId="0A906B06">
            <w:pPr>
              <w:spacing w:before="56"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2"/>
                <w:sz w:val="20"/>
                <w:szCs w:val="20"/>
                <w:highlight w:val="none"/>
              </w:rPr>
              <w:t>本</w:t>
            </w:r>
            <w:r>
              <w:rPr>
                <w:rFonts w:hint="default" w:ascii="Times New Roman" w:hAnsi="Times New Roman" w:eastAsia="黑体" w:cs="Times New Roman"/>
                <w:spacing w:val="-1"/>
                <w:sz w:val="20"/>
                <w:szCs w:val="20"/>
                <w:highlight w:val="none"/>
              </w:rPr>
              <w:t>项目</w:t>
            </w:r>
          </w:p>
          <w:p w14:paraId="771DBEE0">
            <w:pPr>
              <w:spacing w:before="22"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1"/>
                <w:sz w:val="20"/>
                <w:szCs w:val="20"/>
                <w:highlight w:val="none"/>
              </w:rPr>
              <w:t>排放量</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固体废物</w:t>
            </w:r>
            <w:r>
              <w:rPr>
                <w:rFonts w:hint="default" w:ascii="Times New Roman" w:hAnsi="Times New Roman" w:eastAsia="黑体" w:cs="Times New Roman"/>
                <w:spacing w:val="-1"/>
                <w:sz w:val="20"/>
                <w:szCs w:val="20"/>
                <w:highlight w:val="none"/>
              </w:rPr>
              <w:t>产生量</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④</w:t>
            </w:r>
          </w:p>
        </w:tc>
        <w:tc>
          <w:tcPr>
            <w:tcW w:w="1759" w:type="dxa"/>
            <w:vAlign w:val="center"/>
          </w:tcPr>
          <w:p w14:paraId="2460EEA4">
            <w:pPr>
              <w:spacing w:before="22" w:line="230" w:lineRule="auto"/>
              <w:jc w:val="center"/>
              <w:rPr>
                <w:rFonts w:hint="default" w:ascii="Times New Roman" w:hAnsi="Times New Roman" w:eastAsia="黑体" w:cs="Times New Roman"/>
                <w:spacing w:val="1"/>
                <w:sz w:val="20"/>
                <w:szCs w:val="20"/>
                <w:highlight w:val="none"/>
              </w:rPr>
            </w:pPr>
            <w:r>
              <w:rPr>
                <w:rFonts w:hint="default" w:ascii="Times New Roman" w:hAnsi="Times New Roman" w:eastAsia="黑体" w:cs="Times New Roman"/>
                <w:spacing w:val="1"/>
                <w:sz w:val="20"/>
                <w:szCs w:val="20"/>
                <w:highlight w:val="none"/>
              </w:rPr>
              <w:t>以新带老削减量</w:t>
            </w:r>
          </w:p>
          <w:p w14:paraId="423A5269">
            <w:pPr>
              <w:spacing w:before="22" w:line="230" w:lineRule="auto"/>
              <w:jc w:val="center"/>
              <w:rPr>
                <w:rFonts w:hint="default" w:ascii="Times New Roman" w:hAnsi="Times New Roman" w:eastAsia="黑体" w:cs="Times New Roman"/>
                <w:sz w:val="20"/>
                <w:szCs w:val="20"/>
                <w:highlight w:val="none"/>
              </w:rPr>
            </w:pP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新建项目不填</w:t>
            </w:r>
            <w:r>
              <w:rPr>
                <w:rFonts w:hint="eastAsia" w:ascii="Times New Roman" w:hAnsi="Times New Roman" w:eastAsia="黑体" w:cs="Times New Roman"/>
                <w:spacing w:val="1"/>
                <w:sz w:val="20"/>
                <w:szCs w:val="20"/>
                <w:highlight w:val="none"/>
                <w:lang w:eastAsia="zh-CN"/>
              </w:rPr>
              <w:t>）</w:t>
            </w:r>
            <w:r>
              <w:rPr>
                <w:rFonts w:hint="default" w:ascii="Times New Roman" w:hAnsi="Times New Roman" w:eastAsia="黑体" w:cs="Times New Roman"/>
                <w:spacing w:val="1"/>
                <w:sz w:val="20"/>
                <w:szCs w:val="20"/>
                <w:highlight w:val="none"/>
              </w:rPr>
              <w:t>⑤</w:t>
            </w:r>
          </w:p>
        </w:tc>
        <w:tc>
          <w:tcPr>
            <w:tcW w:w="1957" w:type="dxa"/>
            <w:vAlign w:val="center"/>
          </w:tcPr>
          <w:p w14:paraId="7C683857">
            <w:pPr>
              <w:spacing w:before="56" w:line="230" w:lineRule="auto"/>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18"/>
                <w:sz w:val="20"/>
                <w:szCs w:val="20"/>
                <w:highlight w:val="none"/>
              </w:rPr>
              <w:t>本</w:t>
            </w:r>
            <w:r>
              <w:rPr>
                <w:rFonts w:hint="default" w:ascii="Times New Roman" w:hAnsi="Times New Roman" w:eastAsia="黑体" w:cs="Times New Roman"/>
                <w:spacing w:val="-14"/>
                <w:sz w:val="20"/>
                <w:szCs w:val="20"/>
                <w:highlight w:val="none"/>
              </w:rPr>
              <w:t>项目建成后</w:t>
            </w:r>
            <w:r>
              <w:rPr>
                <w:rFonts w:hint="default" w:ascii="Times New Roman" w:hAnsi="Times New Roman" w:eastAsia="黑体" w:cs="Times New Roman"/>
                <w:spacing w:val="-18"/>
                <w:sz w:val="20"/>
                <w:szCs w:val="20"/>
                <w:highlight w:val="none"/>
              </w:rPr>
              <w:t>全</w:t>
            </w:r>
            <w:r>
              <w:rPr>
                <w:rFonts w:hint="default" w:ascii="Times New Roman" w:hAnsi="Times New Roman" w:eastAsia="黑体" w:cs="Times New Roman"/>
                <w:spacing w:val="-17"/>
                <w:sz w:val="20"/>
                <w:szCs w:val="20"/>
                <w:highlight w:val="none"/>
              </w:rPr>
              <w:t>厂排放量</w:t>
            </w:r>
            <w:r>
              <w:rPr>
                <w:rFonts w:hint="eastAsia" w:ascii="Times New Roman" w:hAnsi="Times New Roman" w:eastAsia="黑体" w:cs="Times New Roman"/>
                <w:spacing w:val="-17"/>
                <w:sz w:val="20"/>
                <w:szCs w:val="20"/>
                <w:highlight w:val="none"/>
                <w:lang w:eastAsia="zh-CN"/>
              </w:rPr>
              <w:t>（</w:t>
            </w:r>
            <w:r>
              <w:rPr>
                <w:rFonts w:hint="default" w:ascii="Times New Roman" w:hAnsi="Times New Roman" w:eastAsia="黑体" w:cs="Times New Roman"/>
                <w:spacing w:val="-17"/>
                <w:sz w:val="20"/>
                <w:szCs w:val="20"/>
                <w:highlight w:val="none"/>
              </w:rPr>
              <w:t>固体废物产</w:t>
            </w:r>
            <w:r>
              <w:rPr>
                <w:rFonts w:hint="default" w:ascii="Times New Roman" w:hAnsi="Times New Roman" w:eastAsia="黑体" w:cs="Times New Roman"/>
                <w:spacing w:val="-13"/>
                <w:sz w:val="20"/>
                <w:szCs w:val="20"/>
                <w:highlight w:val="none"/>
              </w:rPr>
              <w:t>生量</w:t>
            </w:r>
            <w:r>
              <w:rPr>
                <w:rFonts w:hint="eastAsia" w:ascii="Times New Roman" w:hAnsi="Times New Roman" w:eastAsia="黑体" w:cs="Times New Roman"/>
                <w:spacing w:val="-13"/>
                <w:sz w:val="20"/>
                <w:szCs w:val="20"/>
                <w:highlight w:val="none"/>
                <w:lang w:eastAsia="zh-CN"/>
              </w:rPr>
              <w:t>）</w:t>
            </w:r>
            <w:r>
              <w:rPr>
                <w:rFonts w:hint="default" w:ascii="Times New Roman" w:hAnsi="Times New Roman" w:eastAsia="黑体" w:cs="Times New Roman"/>
                <w:spacing w:val="-13"/>
                <w:sz w:val="20"/>
                <w:szCs w:val="20"/>
                <w:highlight w:val="none"/>
              </w:rPr>
              <w:t>⑥</w:t>
            </w:r>
          </w:p>
        </w:tc>
        <w:tc>
          <w:tcPr>
            <w:tcW w:w="835" w:type="dxa"/>
            <w:tcBorders>
              <w:right w:val="single" w:color="000000" w:sz="6" w:space="0"/>
            </w:tcBorders>
            <w:vAlign w:val="center"/>
          </w:tcPr>
          <w:p w14:paraId="220D1990">
            <w:pPr>
              <w:spacing w:before="193" w:line="264" w:lineRule="auto"/>
              <w:ind w:left="318" w:leftChars="0" w:right="100" w:rightChars="0" w:hanging="187" w:firstLineChars="0"/>
              <w:jc w:val="center"/>
              <w:rPr>
                <w:rFonts w:hint="default" w:ascii="Times New Roman" w:hAnsi="Times New Roman" w:eastAsia="黑体" w:cs="Times New Roman"/>
                <w:sz w:val="20"/>
                <w:szCs w:val="20"/>
                <w:highlight w:val="none"/>
              </w:rPr>
            </w:pPr>
            <w:r>
              <w:rPr>
                <w:rFonts w:hint="default" w:ascii="Times New Roman" w:hAnsi="Times New Roman" w:eastAsia="黑体" w:cs="Times New Roman"/>
                <w:spacing w:val="-4"/>
                <w:sz w:val="20"/>
                <w:szCs w:val="20"/>
                <w:highlight w:val="none"/>
              </w:rPr>
              <w:t>变</w:t>
            </w:r>
            <w:r>
              <w:rPr>
                <w:rFonts w:hint="default" w:ascii="Times New Roman" w:hAnsi="Times New Roman" w:eastAsia="黑体" w:cs="Times New Roman"/>
                <w:spacing w:val="-2"/>
                <w:sz w:val="20"/>
                <w:szCs w:val="20"/>
                <w:highlight w:val="none"/>
              </w:rPr>
              <w:t>化量</w:t>
            </w:r>
            <w:r>
              <w:rPr>
                <w:rFonts w:hint="default" w:ascii="Times New Roman" w:hAnsi="Times New Roman" w:eastAsia="黑体" w:cs="Times New Roman"/>
                <w:sz w:val="20"/>
                <w:szCs w:val="20"/>
                <w:highlight w:val="none"/>
              </w:rPr>
              <w:t>⑦</w:t>
            </w:r>
          </w:p>
        </w:tc>
      </w:tr>
      <w:tr w14:paraId="2269C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1662" w:type="dxa"/>
            <w:tcBorders>
              <w:left w:val="single" w:color="000000" w:sz="6" w:space="0"/>
              <w:bottom w:val="single" w:color="000000" w:sz="2" w:space="0"/>
            </w:tcBorders>
            <w:vAlign w:val="center"/>
          </w:tcPr>
          <w:p w14:paraId="284B4C15">
            <w:pPr>
              <w:spacing w:before="65" w:line="240" w:lineRule="auto"/>
              <w:ind w:left="586"/>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废气</w:t>
            </w:r>
          </w:p>
        </w:tc>
        <w:tc>
          <w:tcPr>
            <w:tcW w:w="1606" w:type="dxa"/>
            <w:vAlign w:val="center"/>
          </w:tcPr>
          <w:p w14:paraId="0383F089">
            <w:pPr>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非甲烷总烃</w:t>
            </w:r>
            <w:r>
              <w:rPr>
                <w:rFonts w:hint="eastAsia" w:ascii="Times New Roman" w:hAnsi="Times New Roman" w:eastAsia="宋体" w:cs="Times New Roman"/>
                <w:sz w:val="21"/>
                <w:highlight w:val="none"/>
                <w:lang w:val="en-US" w:eastAsia="zh-CN"/>
              </w:rPr>
              <w:t>（t/a）</w:t>
            </w:r>
          </w:p>
        </w:tc>
        <w:tc>
          <w:tcPr>
            <w:tcW w:w="1442" w:type="dxa"/>
            <w:vAlign w:val="center"/>
          </w:tcPr>
          <w:p w14:paraId="612E4300">
            <w:pPr>
              <w:jc w:val="center"/>
              <w:rPr>
                <w:rFonts w:hint="default" w:ascii="Times New Roman" w:hAnsi="Times New Roman" w:cs="Times New Roman"/>
                <w:sz w:val="21"/>
                <w:highlight w:val="none"/>
              </w:rPr>
            </w:pPr>
          </w:p>
        </w:tc>
        <w:tc>
          <w:tcPr>
            <w:tcW w:w="1275" w:type="dxa"/>
            <w:vAlign w:val="center"/>
          </w:tcPr>
          <w:p w14:paraId="20AD2BBD">
            <w:pPr>
              <w:jc w:val="center"/>
              <w:rPr>
                <w:rFonts w:hint="default" w:ascii="Times New Roman" w:hAnsi="Times New Roman" w:cs="Times New Roman"/>
                <w:sz w:val="21"/>
                <w:highlight w:val="none"/>
              </w:rPr>
            </w:pPr>
          </w:p>
        </w:tc>
        <w:tc>
          <w:tcPr>
            <w:tcW w:w="1699" w:type="dxa"/>
            <w:vAlign w:val="center"/>
          </w:tcPr>
          <w:p w14:paraId="6631DCDA">
            <w:pPr>
              <w:jc w:val="center"/>
              <w:rPr>
                <w:rFonts w:hint="default" w:ascii="Times New Roman" w:hAnsi="Times New Roman" w:cs="Times New Roman"/>
                <w:color w:val="auto"/>
                <w:sz w:val="21"/>
                <w:highlight w:val="none"/>
              </w:rPr>
            </w:pPr>
          </w:p>
        </w:tc>
        <w:tc>
          <w:tcPr>
            <w:tcW w:w="1557" w:type="dxa"/>
            <w:vAlign w:val="center"/>
          </w:tcPr>
          <w:p w14:paraId="75BEAD34">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0.2170</w:t>
            </w:r>
          </w:p>
        </w:tc>
        <w:tc>
          <w:tcPr>
            <w:tcW w:w="1759" w:type="dxa"/>
            <w:vAlign w:val="center"/>
          </w:tcPr>
          <w:p w14:paraId="1F33190C">
            <w:pPr>
              <w:jc w:val="center"/>
              <w:rPr>
                <w:rFonts w:hint="default" w:ascii="Times New Roman" w:hAnsi="Times New Roman" w:cs="Times New Roman"/>
                <w:color w:val="auto"/>
                <w:sz w:val="21"/>
                <w:highlight w:val="none"/>
              </w:rPr>
            </w:pPr>
          </w:p>
        </w:tc>
        <w:tc>
          <w:tcPr>
            <w:tcW w:w="1957" w:type="dxa"/>
            <w:vAlign w:val="center"/>
          </w:tcPr>
          <w:p w14:paraId="4603F366">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0.2170</w:t>
            </w:r>
          </w:p>
        </w:tc>
        <w:tc>
          <w:tcPr>
            <w:tcW w:w="835" w:type="dxa"/>
            <w:tcBorders>
              <w:right w:val="single" w:color="000000" w:sz="6" w:space="0"/>
            </w:tcBorders>
            <w:vAlign w:val="center"/>
          </w:tcPr>
          <w:p w14:paraId="7F938DAE">
            <w:pPr>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val="en-US" w:eastAsia="zh-CN"/>
              </w:rPr>
              <w:t>2170</w:t>
            </w:r>
          </w:p>
        </w:tc>
      </w:tr>
      <w:tr w14:paraId="047A4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662" w:type="dxa"/>
            <w:vMerge w:val="restart"/>
            <w:tcBorders>
              <w:left w:val="single" w:color="000000" w:sz="6" w:space="0"/>
            </w:tcBorders>
            <w:vAlign w:val="center"/>
          </w:tcPr>
          <w:p w14:paraId="55AEAE05">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废水</w:t>
            </w:r>
          </w:p>
        </w:tc>
        <w:tc>
          <w:tcPr>
            <w:tcW w:w="1606" w:type="dxa"/>
            <w:vAlign w:val="center"/>
          </w:tcPr>
          <w:p w14:paraId="346446B3">
            <w:pPr>
              <w:pStyle w:val="41"/>
              <w:adjustRightInd/>
              <w:snapToGrid/>
              <w:spacing w:beforeLines="0" w:afterLines="0" w:line="260" w:lineRule="exact"/>
              <w:rPr>
                <w:rFonts w:hint="default" w:ascii="Times New Roman" w:hAnsi="Times New Roman" w:cs="Times New Roman"/>
                <w:sz w:val="21"/>
                <w:highlight w:val="none"/>
              </w:rPr>
            </w:pPr>
            <w:r>
              <w:rPr>
                <w:rFonts w:hint="eastAsia" w:ascii="Times New Roman" w:hAnsi="Times New Roman" w:eastAsia="宋体" w:cs="Times New Roman"/>
                <w:highlight w:val="none"/>
                <w:lang w:eastAsia="zh-CN"/>
              </w:rPr>
              <w:t>COD(</w:t>
            </w:r>
            <w:r>
              <w:rPr>
                <w:rFonts w:hint="eastAsia" w:ascii="Times New Roman" w:hAnsi="Times New Roman" w:eastAsia="宋体" w:cs="Times New Roman"/>
                <w:sz w:val="21"/>
                <w:highlight w:val="none"/>
                <w:lang w:val="en-US" w:eastAsia="zh-CN"/>
              </w:rPr>
              <w:t>t/a)</w:t>
            </w:r>
          </w:p>
        </w:tc>
        <w:tc>
          <w:tcPr>
            <w:tcW w:w="1442" w:type="dxa"/>
            <w:vAlign w:val="center"/>
          </w:tcPr>
          <w:p w14:paraId="329E6485">
            <w:pPr>
              <w:jc w:val="center"/>
              <w:rPr>
                <w:rFonts w:hint="default" w:ascii="Times New Roman" w:hAnsi="Times New Roman" w:cs="Times New Roman"/>
                <w:sz w:val="21"/>
                <w:highlight w:val="none"/>
              </w:rPr>
            </w:pPr>
          </w:p>
        </w:tc>
        <w:tc>
          <w:tcPr>
            <w:tcW w:w="1275" w:type="dxa"/>
            <w:vAlign w:val="center"/>
          </w:tcPr>
          <w:p w14:paraId="18500844">
            <w:pPr>
              <w:jc w:val="center"/>
              <w:rPr>
                <w:rFonts w:hint="default" w:ascii="Times New Roman" w:hAnsi="Times New Roman" w:cs="Times New Roman"/>
                <w:sz w:val="21"/>
                <w:highlight w:val="none"/>
              </w:rPr>
            </w:pPr>
          </w:p>
        </w:tc>
        <w:tc>
          <w:tcPr>
            <w:tcW w:w="1699" w:type="dxa"/>
            <w:vAlign w:val="center"/>
          </w:tcPr>
          <w:p w14:paraId="1FA55521">
            <w:pPr>
              <w:jc w:val="center"/>
              <w:rPr>
                <w:rFonts w:hint="default" w:ascii="Times New Roman" w:hAnsi="Times New Roman" w:cs="Times New Roman"/>
                <w:color w:val="auto"/>
                <w:sz w:val="21"/>
                <w:highlight w:val="none"/>
              </w:rPr>
            </w:pPr>
          </w:p>
        </w:tc>
        <w:tc>
          <w:tcPr>
            <w:tcW w:w="1557" w:type="dxa"/>
            <w:vAlign w:val="center"/>
          </w:tcPr>
          <w:p w14:paraId="13B63E6D">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0.053</w:t>
            </w:r>
          </w:p>
        </w:tc>
        <w:tc>
          <w:tcPr>
            <w:tcW w:w="1759" w:type="dxa"/>
            <w:vAlign w:val="center"/>
          </w:tcPr>
          <w:p w14:paraId="1543D735">
            <w:pPr>
              <w:jc w:val="center"/>
              <w:rPr>
                <w:rFonts w:hint="default" w:ascii="Times New Roman" w:hAnsi="Times New Roman" w:cs="Times New Roman"/>
                <w:color w:val="auto"/>
                <w:sz w:val="21"/>
                <w:highlight w:val="none"/>
              </w:rPr>
            </w:pPr>
          </w:p>
        </w:tc>
        <w:tc>
          <w:tcPr>
            <w:tcW w:w="1957" w:type="dxa"/>
            <w:vAlign w:val="center"/>
          </w:tcPr>
          <w:p w14:paraId="62F2EE70">
            <w:pPr>
              <w:jc w:val="center"/>
              <w:rPr>
                <w:rFonts w:hint="default" w:ascii="Times New Roman" w:hAnsi="Times New Roman" w:cs="Times New Roman"/>
                <w:color w:val="auto"/>
                <w:sz w:val="21"/>
                <w:highlight w:val="none"/>
              </w:rPr>
            </w:pPr>
            <w:r>
              <w:rPr>
                <w:rFonts w:hint="eastAsia" w:ascii="Times New Roman" w:hAnsi="Times New Roman" w:eastAsia="宋体" w:cs="Times New Roman"/>
                <w:color w:val="auto"/>
                <w:sz w:val="21"/>
                <w:highlight w:val="none"/>
                <w:lang w:val="en-US" w:eastAsia="zh-CN"/>
              </w:rPr>
              <w:t>0.053</w:t>
            </w:r>
          </w:p>
        </w:tc>
        <w:tc>
          <w:tcPr>
            <w:tcW w:w="835" w:type="dxa"/>
            <w:tcBorders>
              <w:right w:val="single" w:color="000000" w:sz="6" w:space="0"/>
            </w:tcBorders>
            <w:vAlign w:val="center"/>
          </w:tcPr>
          <w:p w14:paraId="7B390C08">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+0.053</w:t>
            </w:r>
          </w:p>
        </w:tc>
      </w:tr>
      <w:tr w14:paraId="111AE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662" w:type="dxa"/>
            <w:vMerge w:val="continue"/>
            <w:tcBorders>
              <w:left w:val="single" w:color="000000" w:sz="6" w:space="0"/>
            </w:tcBorders>
            <w:vAlign w:val="center"/>
          </w:tcPr>
          <w:p w14:paraId="13AF76D2">
            <w:pPr>
              <w:spacing w:line="240" w:lineRule="auto"/>
              <w:jc w:val="center"/>
              <w:rPr>
                <w:rFonts w:hint="default" w:ascii="Times New Roman" w:hAnsi="Times New Roman" w:cs="Times New Roman"/>
                <w:sz w:val="21"/>
                <w:szCs w:val="21"/>
                <w:highlight w:val="none"/>
              </w:rPr>
            </w:pPr>
          </w:p>
        </w:tc>
        <w:tc>
          <w:tcPr>
            <w:tcW w:w="1606" w:type="dxa"/>
            <w:vAlign w:val="center"/>
          </w:tcPr>
          <w:p w14:paraId="4BFAFE67">
            <w:pPr>
              <w:pStyle w:val="41"/>
              <w:adjustRightInd/>
              <w:snapToGrid/>
              <w:spacing w:beforeLines="0" w:afterLines="0" w:line="260" w:lineRule="exact"/>
              <w:rPr>
                <w:rFonts w:hint="default" w:ascii="Times New Roman" w:hAnsi="Times New Roman" w:cs="Times New Roman"/>
                <w:sz w:val="21"/>
                <w:highlight w:val="none"/>
              </w:rPr>
            </w:pPr>
            <w:r>
              <w:rPr>
                <w:rFonts w:hint="default" w:ascii="Times New Roman" w:hAnsi="Times New Roman" w:cs="Times New Roman"/>
                <w:snapToGrid w:val="0"/>
                <w:color w:val="000000"/>
                <w:kern w:val="21"/>
                <w:szCs w:val="21"/>
                <w:highlight w:val="none"/>
              </w:rPr>
              <w:t>NH</w:t>
            </w:r>
            <w:r>
              <w:rPr>
                <w:rFonts w:hint="default" w:ascii="Times New Roman" w:hAnsi="Times New Roman" w:cs="Times New Roman"/>
                <w:snapToGrid w:val="0"/>
                <w:color w:val="000000"/>
                <w:kern w:val="21"/>
                <w:szCs w:val="21"/>
                <w:highlight w:val="none"/>
                <w:vertAlign w:val="subscript"/>
              </w:rPr>
              <w:t>3</w:t>
            </w:r>
            <w:r>
              <w:rPr>
                <w:rFonts w:hint="default" w:ascii="Times New Roman" w:hAnsi="Times New Roman" w:cs="Times New Roman"/>
                <w:snapToGrid w:val="0"/>
                <w:color w:val="000000"/>
                <w:kern w:val="21"/>
                <w:szCs w:val="21"/>
                <w:highlight w:val="none"/>
              </w:rPr>
              <w:t>-N</w:t>
            </w:r>
            <w:r>
              <w:rPr>
                <w:rFonts w:hint="eastAsia" w:ascii="Times New Roman" w:hAnsi="Times New Roman" w:eastAsia="宋体" w:cs="Times New Roman"/>
                <w:snapToGrid w:val="0"/>
                <w:color w:val="000000"/>
                <w:kern w:val="21"/>
                <w:szCs w:val="21"/>
                <w:highlight w:val="none"/>
                <w:lang w:eastAsia="zh-CN"/>
              </w:rPr>
              <w:t>(</w:t>
            </w:r>
            <w:r>
              <w:rPr>
                <w:rFonts w:hint="eastAsia" w:ascii="Times New Roman" w:hAnsi="Times New Roman" w:eastAsia="宋体" w:cs="Times New Roman"/>
                <w:sz w:val="21"/>
                <w:highlight w:val="none"/>
                <w:lang w:val="en-US" w:eastAsia="zh-CN"/>
              </w:rPr>
              <w:t>t/a)</w:t>
            </w:r>
          </w:p>
        </w:tc>
        <w:tc>
          <w:tcPr>
            <w:tcW w:w="1442" w:type="dxa"/>
            <w:vAlign w:val="center"/>
          </w:tcPr>
          <w:p w14:paraId="38D36168">
            <w:pPr>
              <w:jc w:val="center"/>
              <w:rPr>
                <w:rFonts w:hint="default" w:ascii="Times New Roman" w:hAnsi="Times New Roman" w:cs="Times New Roman"/>
                <w:sz w:val="21"/>
                <w:highlight w:val="none"/>
              </w:rPr>
            </w:pPr>
          </w:p>
        </w:tc>
        <w:tc>
          <w:tcPr>
            <w:tcW w:w="1275" w:type="dxa"/>
            <w:vAlign w:val="center"/>
          </w:tcPr>
          <w:p w14:paraId="55F33615">
            <w:pPr>
              <w:jc w:val="center"/>
              <w:rPr>
                <w:rFonts w:hint="default" w:ascii="Times New Roman" w:hAnsi="Times New Roman" w:cs="Times New Roman"/>
                <w:sz w:val="21"/>
                <w:highlight w:val="none"/>
              </w:rPr>
            </w:pPr>
          </w:p>
        </w:tc>
        <w:tc>
          <w:tcPr>
            <w:tcW w:w="1699" w:type="dxa"/>
            <w:vAlign w:val="center"/>
          </w:tcPr>
          <w:p w14:paraId="30C2FB90">
            <w:pPr>
              <w:jc w:val="center"/>
              <w:rPr>
                <w:rFonts w:hint="default" w:ascii="Times New Roman" w:hAnsi="Times New Roman" w:cs="Times New Roman"/>
                <w:color w:val="auto"/>
                <w:sz w:val="21"/>
                <w:highlight w:val="none"/>
              </w:rPr>
            </w:pPr>
          </w:p>
        </w:tc>
        <w:tc>
          <w:tcPr>
            <w:tcW w:w="1557" w:type="dxa"/>
            <w:vAlign w:val="center"/>
          </w:tcPr>
          <w:p w14:paraId="7E475D26">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0.00537</w:t>
            </w:r>
          </w:p>
        </w:tc>
        <w:tc>
          <w:tcPr>
            <w:tcW w:w="1759" w:type="dxa"/>
            <w:vAlign w:val="center"/>
          </w:tcPr>
          <w:p w14:paraId="7334A7BE">
            <w:pPr>
              <w:jc w:val="center"/>
              <w:rPr>
                <w:rFonts w:hint="default" w:ascii="Times New Roman" w:hAnsi="Times New Roman" w:cs="Times New Roman"/>
                <w:color w:val="auto"/>
                <w:sz w:val="21"/>
                <w:highlight w:val="none"/>
              </w:rPr>
            </w:pPr>
          </w:p>
        </w:tc>
        <w:tc>
          <w:tcPr>
            <w:tcW w:w="1957" w:type="dxa"/>
            <w:vAlign w:val="center"/>
          </w:tcPr>
          <w:p w14:paraId="11DDDB85">
            <w:pPr>
              <w:jc w:val="center"/>
              <w:rPr>
                <w:rFonts w:hint="default" w:ascii="Times New Roman" w:hAnsi="Times New Roman" w:cs="Times New Roman"/>
                <w:color w:val="auto"/>
                <w:sz w:val="21"/>
                <w:highlight w:val="none"/>
              </w:rPr>
            </w:pPr>
            <w:r>
              <w:rPr>
                <w:rFonts w:hint="eastAsia" w:ascii="Times New Roman" w:hAnsi="Times New Roman" w:eastAsia="宋体" w:cs="Times New Roman"/>
                <w:color w:val="auto"/>
                <w:sz w:val="21"/>
                <w:highlight w:val="none"/>
                <w:lang w:val="en-US" w:eastAsia="zh-CN"/>
              </w:rPr>
              <w:t>0.00537</w:t>
            </w:r>
          </w:p>
        </w:tc>
        <w:tc>
          <w:tcPr>
            <w:tcW w:w="835" w:type="dxa"/>
            <w:tcBorders>
              <w:right w:val="single" w:color="000000" w:sz="6" w:space="0"/>
            </w:tcBorders>
            <w:vAlign w:val="center"/>
          </w:tcPr>
          <w:p w14:paraId="66575F4B">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+0.00537</w:t>
            </w:r>
          </w:p>
        </w:tc>
      </w:tr>
      <w:tr w14:paraId="113E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62" w:type="dxa"/>
            <w:tcBorders>
              <w:left w:val="single" w:color="000000" w:sz="6" w:space="0"/>
              <w:bottom w:val="single" w:color="000000" w:sz="2" w:space="0"/>
            </w:tcBorders>
            <w:vAlign w:val="center"/>
          </w:tcPr>
          <w:p w14:paraId="0C90C4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一般工业固体废物</w:t>
            </w:r>
          </w:p>
        </w:tc>
        <w:tc>
          <w:tcPr>
            <w:tcW w:w="1606" w:type="dxa"/>
            <w:vAlign w:val="center"/>
          </w:tcPr>
          <w:p w14:paraId="24D36326">
            <w:pPr>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塑料边角料、废次品</w:t>
            </w:r>
            <w:r>
              <w:rPr>
                <w:rFonts w:hint="eastAsia" w:ascii="Times New Roman" w:hAnsi="Times New Roman" w:eastAsia="宋体" w:cs="Times New Roman"/>
                <w:sz w:val="21"/>
                <w:highlight w:val="none"/>
                <w:lang w:val="en-US" w:eastAsia="zh-CN"/>
              </w:rPr>
              <w:t>（t/a）</w:t>
            </w:r>
          </w:p>
        </w:tc>
        <w:tc>
          <w:tcPr>
            <w:tcW w:w="1442" w:type="dxa"/>
            <w:vAlign w:val="center"/>
          </w:tcPr>
          <w:p w14:paraId="778A91DA">
            <w:pPr>
              <w:jc w:val="center"/>
              <w:rPr>
                <w:rFonts w:hint="default" w:ascii="Times New Roman" w:hAnsi="Times New Roman" w:cs="Times New Roman"/>
                <w:sz w:val="21"/>
                <w:highlight w:val="none"/>
              </w:rPr>
            </w:pPr>
          </w:p>
        </w:tc>
        <w:tc>
          <w:tcPr>
            <w:tcW w:w="1275" w:type="dxa"/>
            <w:vAlign w:val="center"/>
          </w:tcPr>
          <w:p w14:paraId="5EB0CF5E">
            <w:pPr>
              <w:jc w:val="center"/>
              <w:rPr>
                <w:rFonts w:hint="default" w:ascii="Times New Roman" w:hAnsi="Times New Roman" w:cs="Times New Roman"/>
                <w:sz w:val="21"/>
                <w:highlight w:val="none"/>
              </w:rPr>
            </w:pPr>
          </w:p>
        </w:tc>
        <w:tc>
          <w:tcPr>
            <w:tcW w:w="1699" w:type="dxa"/>
            <w:vAlign w:val="center"/>
          </w:tcPr>
          <w:p w14:paraId="15D358E3">
            <w:pPr>
              <w:jc w:val="center"/>
              <w:rPr>
                <w:rFonts w:hint="default" w:ascii="Times New Roman" w:hAnsi="Times New Roman" w:cs="Times New Roman"/>
                <w:color w:val="auto"/>
                <w:sz w:val="21"/>
                <w:highlight w:val="none"/>
              </w:rPr>
            </w:pPr>
          </w:p>
        </w:tc>
        <w:tc>
          <w:tcPr>
            <w:tcW w:w="1557" w:type="dxa"/>
            <w:vAlign w:val="center"/>
          </w:tcPr>
          <w:p w14:paraId="03B8B017">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140.616</w:t>
            </w:r>
          </w:p>
        </w:tc>
        <w:tc>
          <w:tcPr>
            <w:tcW w:w="1759" w:type="dxa"/>
            <w:vAlign w:val="center"/>
          </w:tcPr>
          <w:p w14:paraId="24613A5C">
            <w:pPr>
              <w:jc w:val="center"/>
              <w:rPr>
                <w:rFonts w:hint="default" w:ascii="Times New Roman" w:hAnsi="Times New Roman" w:cs="Times New Roman"/>
                <w:color w:val="auto"/>
                <w:sz w:val="21"/>
                <w:highlight w:val="none"/>
              </w:rPr>
            </w:pPr>
          </w:p>
        </w:tc>
        <w:tc>
          <w:tcPr>
            <w:tcW w:w="1957" w:type="dxa"/>
            <w:vAlign w:val="center"/>
          </w:tcPr>
          <w:p w14:paraId="3E172138">
            <w:pPr>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highlight w:val="none"/>
                <w:lang w:val="en-US" w:eastAsia="zh-CN"/>
              </w:rPr>
              <w:t>140.616</w:t>
            </w:r>
          </w:p>
        </w:tc>
        <w:tc>
          <w:tcPr>
            <w:tcW w:w="835" w:type="dxa"/>
            <w:tcBorders>
              <w:right w:val="single" w:color="000000" w:sz="6" w:space="0"/>
            </w:tcBorders>
            <w:vAlign w:val="center"/>
          </w:tcPr>
          <w:p w14:paraId="1AD35580">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+140.616</w:t>
            </w:r>
          </w:p>
        </w:tc>
      </w:tr>
      <w:tr w14:paraId="3915A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662" w:type="dxa"/>
            <w:vMerge w:val="restart"/>
            <w:tcBorders>
              <w:top w:val="single" w:color="000000" w:sz="2" w:space="0"/>
              <w:left w:val="single" w:color="000000" w:sz="6" w:space="0"/>
            </w:tcBorders>
            <w:vAlign w:val="center"/>
          </w:tcPr>
          <w:p w14:paraId="48AB1CA8">
            <w:pPr>
              <w:spacing w:before="65"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危</w:t>
            </w:r>
            <w:r>
              <w:rPr>
                <w:rFonts w:hint="default" w:ascii="Times New Roman" w:hAnsi="Times New Roman" w:eastAsia="宋体" w:cs="Times New Roman"/>
                <w:spacing w:val="6"/>
                <w:sz w:val="21"/>
                <w:szCs w:val="21"/>
                <w:highlight w:val="none"/>
              </w:rPr>
              <w:t>险废物</w:t>
            </w:r>
          </w:p>
        </w:tc>
        <w:tc>
          <w:tcPr>
            <w:tcW w:w="1606" w:type="dxa"/>
            <w:vAlign w:val="center"/>
          </w:tcPr>
          <w:p w14:paraId="2D1230D2">
            <w:pPr>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废原料空桶</w:t>
            </w:r>
            <w:r>
              <w:rPr>
                <w:rFonts w:hint="eastAsia" w:ascii="Times New Roman" w:hAnsi="Times New Roman" w:eastAsia="宋体" w:cs="Times New Roman"/>
                <w:sz w:val="21"/>
                <w:highlight w:val="none"/>
                <w:lang w:val="en-US" w:eastAsia="zh-CN"/>
              </w:rPr>
              <w:t>、废抹布（t/a）</w:t>
            </w:r>
          </w:p>
        </w:tc>
        <w:tc>
          <w:tcPr>
            <w:tcW w:w="1442" w:type="dxa"/>
            <w:vAlign w:val="center"/>
          </w:tcPr>
          <w:p w14:paraId="4363EA19">
            <w:pPr>
              <w:jc w:val="center"/>
              <w:rPr>
                <w:rFonts w:hint="default" w:ascii="Times New Roman" w:hAnsi="Times New Roman" w:cs="Times New Roman"/>
                <w:sz w:val="21"/>
                <w:highlight w:val="none"/>
              </w:rPr>
            </w:pPr>
          </w:p>
        </w:tc>
        <w:tc>
          <w:tcPr>
            <w:tcW w:w="1275" w:type="dxa"/>
            <w:vAlign w:val="center"/>
          </w:tcPr>
          <w:p w14:paraId="4FB97CD9">
            <w:pPr>
              <w:jc w:val="center"/>
              <w:rPr>
                <w:rFonts w:hint="default" w:ascii="Times New Roman" w:hAnsi="Times New Roman" w:cs="Times New Roman"/>
                <w:sz w:val="21"/>
                <w:highlight w:val="none"/>
              </w:rPr>
            </w:pPr>
          </w:p>
        </w:tc>
        <w:tc>
          <w:tcPr>
            <w:tcW w:w="1699" w:type="dxa"/>
            <w:vAlign w:val="center"/>
          </w:tcPr>
          <w:p w14:paraId="2937CA89">
            <w:pPr>
              <w:jc w:val="center"/>
              <w:rPr>
                <w:rFonts w:hint="default" w:ascii="Times New Roman" w:hAnsi="Times New Roman" w:cs="Times New Roman"/>
                <w:color w:val="auto"/>
                <w:sz w:val="21"/>
                <w:highlight w:val="none"/>
              </w:rPr>
            </w:pPr>
          </w:p>
        </w:tc>
        <w:tc>
          <w:tcPr>
            <w:tcW w:w="1557" w:type="dxa"/>
            <w:vAlign w:val="center"/>
          </w:tcPr>
          <w:p w14:paraId="60EC7C45">
            <w:pPr>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val="en-US" w:eastAsia="zh-CN"/>
              </w:rPr>
              <w:t>6</w:t>
            </w:r>
          </w:p>
        </w:tc>
        <w:tc>
          <w:tcPr>
            <w:tcW w:w="1759" w:type="dxa"/>
            <w:vAlign w:val="center"/>
          </w:tcPr>
          <w:p w14:paraId="7F66CE96">
            <w:pPr>
              <w:jc w:val="center"/>
              <w:rPr>
                <w:rFonts w:hint="default" w:ascii="Times New Roman" w:hAnsi="Times New Roman" w:cs="Times New Roman"/>
                <w:color w:val="auto"/>
                <w:sz w:val="21"/>
                <w:highlight w:val="none"/>
              </w:rPr>
            </w:pPr>
          </w:p>
        </w:tc>
        <w:tc>
          <w:tcPr>
            <w:tcW w:w="1957" w:type="dxa"/>
            <w:shd w:val="clear" w:color="auto" w:fill="auto"/>
            <w:vAlign w:val="center"/>
          </w:tcPr>
          <w:p w14:paraId="2F766BCB">
            <w:pPr>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highlight w:val="none"/>
                <w:lang w:val="en-US" w:eastAsia="zh-CN"/>
              </w:rPr>
              <w:t>0.</w:t>
            </w:r>
            <w:r>
              <w:rPr>
                <w:rFonts w:hint="eastAsia" w:ascii="Times New Roman" w:hAnsi="Times New Roman" w:eastAsia="宋体" w:cs="Times New Roman"/>
                <w:color w:val="auto"/>
                <w:sz w:val="21"/>
                <w:highlight w:val="none"/>
                <w:lang w:val="en-US" w:eastAsia="zh-CN"/>
              </w:rPr>
              <w:t>6</w:t>
            </w:r>
          </w:p>
        </w:tc>
        <w:tc>
          <w:tcPr>
            <w:tcW w:w="835" w:type="dxa"/>
            <w:tcBorders>
              <w:right w:val="single" w:color="000000" w:sz="6" w:space="0"/>
            </w:tcBorders>
            <w:vAlign w:val="center"/>
          </w:tcPr>
          <w:p w14:paraId="4E8A3AEB">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+0.6</w:t>
            </w:r>
          </w:p>
        </w:tc>
      </w:tr>
      <w:tr w14:paraId="0FBEA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662" w:type="dxa"/>
            <w:vMerge w:val="continue"/>
            <w:tcBorders>
              <w:left w:val="single" w:color="000000" w:sz="6" w:space="0"/>
            </w:tcBorders>
            <w:vAlign w:val="center"/>
          </w:tcPr>
          <w:p w14:paraId="507DF346">
            <w:pPr>
              <w:rPr>
                <w:rFonts w:hint="default" w:ascii="Times New Roman" w:hAnsi="Times New Roman" w:cs="Times New Roman"/>
                <w:sz w:val="21"/>
                <w:highlight w:val="none"/>
              </w:rPr>
            </w:pPr>
          </w:p>
        </w:tc>
        <w:tc>
          <w:tcPr>
            <w:tcW w:w="1606" w:type="dxa"/>
            <w:vAlign w:val="center"/>
          </w:tcPr>
          <w:p w14:paraId="07519279">
            <w:pPr>
              <w:jc w:val="center"/>
              <w:rPr>
                <w:rFonts w:hint="default" w:ascii="Times New Roman" w:hAnsi="Times New Roman" w:eastAsia="宋体" w:cs="Times New Roman"/>
                <w:sz w:val="21"/>
                <w:highlight w:val="none"/>
                <w:lang w:val="en-US" w:eastAsia="zh-CN"/>
              </w:rPr>
            </w:pPr>
            <w:r>
              <w:rPr>
                <w:rFonts w:hint="default" w:ascii="Times New Roman" w:hAnsi="Times New Roman" w:eastAsia="宋体" w:cs="Times New Roman"/>
                <w:sz w:val="21"/>
                <w:highlight w:val="none"/>
                <w:lang w:val="en-US" w:eastAsia="zh-CN"/>
              </w:rPr>
              <w:t>废活性炭</w:t>
            </w:r>
            <w:r>
              <w:rPr>
                <w:rFonts w:hint="eastAsia" w:ascii="Times New Roman" w:hAnsi="Times New Roman" w:eastAsia="宋体" w:cs="Times New Roman"/>
                <w:sz w:val="21"/>
                <w:highlight w:val="none"/>
                <w:lang w:val="en-US" w:eastAsia="zh-CN"/>
              </w:rPr>
              <w:t>（t/a）</w:t>
            </w:r>
          </w:p>
        </w:tc>
        <w:tc>
          <w:tcPr>
            <w:tcW w:w="1442" w:type="dxa"/>
            <w:vAlign w:val="center"/>
          </w:tcPr>
          <w:p w14:paraId="349A1A71">
            <w:pPr>
              <w:jc w:val="center"/>
              <w:rPr>
                <w:rFonts w:hint="default" w:ascii="Times New Roman" w:hAnsi="Times New Roman" w:cs="Times New Roman"/>
                <w:sz w:val="21"/>
                <w:highlight w:val="none"/>
              </w:rPr>
            </w:pPr>
          </w:p>
        </w:tc>
        <w:tc>
          <w:tcPr>
            <w:tcW w:w="1275" w:type="dxa"/>
            <w:vAlign w:val="center"/>
          </w:tcPr>
          <w:p w14:paraId="5AD1767D">
            <w:pPr>
              <w:jc w:val="center"/>
              <w:rPr>
                <w:rFonts w:hint="default" w:ascii="Times New Roman" w:hAnsi="Times New Roman" w:cs="Times New Roman"/>
                <w:sz w:val="21"/>
                <w:highlight w:val="none"/>
              </w:rPr>
            </w:pPr>
          </w:p>
        </w:tc>
        <w:tc>
          <w:tcPr>
            <w:tcW w:w="1699" w:type="dxa"/>
            <w:vAlign w:val="center"/>
          </w:tcPr>
          <w:p w14:paraId="47BDAE22">
            <w:pPr>
              <w:jc w:val="center"/>
              <w:rPr>
                <w:rFonts w:hint="default" w:ascii="Times New Roman" w:hAnsi="Times New Roman" w:cs="Times New Roman"/>
                <w:color w:val="auto"/>
                <w:sz w:val="21"/>
                <w:highlight w:val="none"/>
              </w:rPr>
            </w:pPr>
          </w:p>
        </w:tc>
        <w:tc>
          <w:tcPr>
            <w:tcW w:w="1557" w:type="dxa"/>
            <w:vAlign w:val="center"/>
          </w:tcPr>
          <w:p w14:paraId="2C2A0BBE">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1.18</w:t>
            </w:r>
          </w:p>
        </w:tc>
        <w:tc>
          <w:tcPr>
            <w:tcW w:w="1759" w:type="dxa"/>
            <w:vAlign w:val="center"/>
          </w:tcPr>
          <w:p w14:paraId="595F72DC">
            <w:pPr>
              <w:jc w:val="center"/>
              <w:rPr>
                <w:rFonts w:hint="default" w:ascii="Times New Roman" w:hAnsi="Times New Roman" w:cs="Times New Roman"/>
                <w:color w:val="auto"/>
                <w:sz w:val="21"/>
                <w:highlight w:val="none"/>
              </w:rPr>
            </w:pPr>
          </w:p>
        </w:tc>
        <w:tc>
          <w:tcPr>
            <w:tcW w:w="1957" w:type="dxa"/>
            <w:shd w:val="clear" w:color="auto" w:fill="auto"/>
            <w:vAlign w:val="center"/>
          </w:tcPr>
          <w:p w14:paraId="1DBA8590">
            <w:pPr>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highlight w:val="none"/>
                <w:lang w:val="en-US" w:eastAsia="zh-CN"/>
              </w:rPr>
              <w:t>1.18</w:t>
            </w:r>
          </w:p>
        </w:tc>
        <w:tc>
          <w:tcPr>
            <w:tcW w:w="835" w:type="dxa"/>
            <w:tcBorders>
              <w:right w:val="single" w:color="000000" w:sz="6" w:space="0"/>
            </w:tcBorders>
            <w:vAlign w:val="center"/>
          </w:tcPr>
          <w:p w14:paraId="61FE1EA6">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+1.18</w:t>
            </w:r>
          </w:p>
        </w:tc>
      </w:tr>
      <w:tr w14:paraId="538BC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662" w:type="dxa"/>
            <w:vMerge w:val="continue"/>
            <w:tcBorders>
              <w:left w:val="single" w:color="000000" w:sz="6" w:space="0"/>
            </w:tcBorders>
            <w:vAlign w:val="center"/>
          </w:tcPr>
          <w:p w14:paraId="5250F0F3">
            <w:pPr>
              <w:rPr>
                <w:rFonts w:hint="default" w:ascii="Times New Roman" w:hAnsi="Times New Roman" w:cs="Times New Roman"/>
                <w:sz w:val="21"/>
                <w:highlight w:val="none"/>
              </w:rPr>
            </w:pPr>
          </w:p>
        </w:tc>
        <w:tc>
          <w:tcPr>
            <w:tcW w:w="1606" w:type="dxa"/>
            <w:vAlign w:val="center"/>
          </w:tcPr>
          <w:p w14:paraId="0DB4E52A">
            <w:pPr>
              <w:jc w:val="center"/>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sz w:val="21"/>
                <w:highlight w:val="none"/>
                <w:lang w:val="en-US" w:eastAsia="zh-CN"/>
              </w:rPr>
              <w:t>废网版（t/a）</w:t>
            </w:r>
          </w:p>
        </w:tc>
        <w:tc>
          <w:tcPr>
            <w:tcW w:w="1442" w:type="dxa"/>
            <w:vAlign w:val="center"/>
          </w:tcPr>
          <w:p w14:paraId="07D1F3CA">
            <w:pPr>
              <w:jc w:val="center"/>
              <w:rPr>
                <w:rFonts w:hint="default" w:ascii="Times New Roman" w:hAnsi="Times New Roman" w:cs="Times New Roman"/>
                <w:sz w:val="21"/>
                <w:highlight w:val="none"/>
              </w:rPr>
            </w:pPr>
          </w:p>
        </w:tc>
        <w:tc>
          <w:tcPr>
            <w:tcW w:w="1275" w:type="dxa"/>
            <w:vAlign w:val="center"/>
          </w:tcPr>
          <w:p w14:paraId="793F2D76">
            <w:pPr>
              <w:jc w:val="center"/>
              <w:rPr>
                <w:rFonts w:hint="default" w:ascii="Times New Roman" w:hAnsi="Times New Roman" w:cs="Times New Roman"/>
                <w:sz w:val="21"/>
                <w:highlight w:val="none"/>
              </w:rPr>
            </w:pPr>
          </w:p>
        </w:tc>
        <w:tc>
          <w:tcPr>
            <w:tcW w:w="1699" w:type="dxa"/>
            <w:vAlign w:val="center"/>
          </w:tcPr>
          <w:p w14:paraId="3095B331">
            <w:pPr>
              <w:jc w:val="center"/>
              <w:rPr>
                <w:rFonts w:hint="default" w:ascii="Times New Roman" w:hAnsi="Times New Roman" w:cs="Times New Roman"/>
                <w:color w:val="auto"/>
                <w:sz w:val="21"/>
                <w:highlight w:val="none"/>
              </w:rPr>
            </w:pPr>
          </w:p>
        </w:tc>
        <w:tc>
          <w:tcPr>
            <w:tcW w:w="1557" w:type="dxa"/>
            <w:vAlign w:val="center"/>
          </w:tcPr>
          <w:p w14:paraId="12808B1E">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0.1</w:t>
            </w:r>
          </w:p>
        </w:tc>
        <w:tc>
          <w:tcPr>
            <w:tcW w:w="1759" w:type="dxa"/>
            <w:vAlign w:val="center"/>
          </w:tcPr>
          <w:p w14:paraId="02D0C505">
            <w:pPr>
              <w:jc w:val="center"/>
              <w:rPr>
                <w:rFonts w:hint="default" w:ascii="Times New Roman" w:hAnsi="Times New Roman" w:cs="Times New Roman"/>
                <w:color w:val="auto"/>
                <w:sz w:val="21"/>
                <w:highlight w:val="none"/>
              </w:rPr>
            </w:pPr>
          </w:p>
        </w:tc>
        <w:tc>
          <w:tcPr>
            <w:tcW w:w="1957" w:type="dxa"/>
            <w:shd w:val="clear" w:color="auto" w:fill="auto"/>
            <w:vAlign w:val="center"/>
          </w:tcPr>
          <w:p w14:paraId="10B30511">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0.1</w:t>
            </w:r>
          </w:p>
        </w:tc>
        <w:tc>
          <w:tcPr>
            <w:tcW w:w="835" w:type="dxa"/>
            <w:tcBorders>
              <w:right w:val="single" w:color="000000" w:sz="6" w:space="0"/>
            </w:tcBorders>
            <w:vAlign w:val="center"/>
          </w:tcPr>
          <w:p w14:paraId="1CE730B5">
            <w:pPr>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+0.1</w:t>
            </w:r>
          </w:p>
        </w:tc>
      </w:tr>
    </w:tbl>
    <w:p w14:paraId="1F6690A1">
      <w:pPr>
        <w:spacing w:before="222" w:line="233" w:lineRule="auto"/>
        <w:ind w:left="45"/>
        <w:rPr>
          <w:rFonts w:hint="default" w:ascii="Times New Roman" w:hAnsi="Times New Roman" w:eastAsia="宋体" w:cs="Times New Roman"/>
          <w:b/>
          <w:bCs/>
          <w:snapToGrid/>
          <w:kern w:val="2"/>
          <w:sz w:val="24"/>
          <w:szCs w:val="24"/>
          <w:lang w:val="en-US" w:eastAsia="zh-CN" w:bidi="ar-SA"/>
        </w:rPr>
      </w:pPr>
      <w:r>
        <w:rPr>
          <w:rFonts w:ascii="宋体" w:hAnsi="宋体" w:eastAsia="宋体" w:cs="宋体"/>
          <w:spacing w:val="3"/>
          <w:sz w:val="20"/>
          <w:szCs w:val="20"/>
        </w:rPr>
        <w:t>注：⑥=①+③+④-⑤；⑦=⑥-</w:t>
      </w:r>
      <w:r>
        <w:rPr>
          <w:rFonts w:ascii="宋体" w:hAnsi="宋体" w:eastAsia="宋体" w:cs="宋体"/>
          <w:spacing w:val="1"/>
          <w:sz w:val="20"/>
          <w:szCs w:val="20"/>
        </w:rPr>
        <w:t>①</w:t>
      </w:r>
    </w:p>
    <w:sectPr>
      <w:footerReference r:id="rId9" w:type="default"/>
      <w:pgSz w:w="16839" w:h="11906" w:orient="landscape"/>
      <w:pgMar w:top="1539" w:right="1431" w:bottom="1530" w:left="1392" w:header="0" w:footer="1124"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宋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87B7A">
    <w:pPr>
      <w:spacing w:line="176" w:lineRule="auto"/>
      <w:jc w:val="right"/>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3AADE">
    <w:pPr>
      <w:spacing w:line="176" w:lineRule="auto"/>
      <w:jc w:val="right"/>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7F0E3">
                          <w:pPr>
                            <w:pStyle w:val="11"/>
                            <w:rPr>
                              <w:rFonts w:hint="default" w:ascii="Times New Roman" w:hAnsi="Times New Roman" w:cs="Times New Roman"/>
                              <w:sz w:val="21"/>
                              <w:szCs w:val="22"/>
                            </w:rPr>
                          </w:pPr>
                          <w:r>
                            <w:rPr>
                              <w:rFonts w:hint="default" w:ascii="Times New Roman" w:hAnsi="Times New Roman" w:cs="Times New Roman"/>
                              <w:sz w:val="21"/>
                              <w:szCs w:val="22"/>
                            </w:rPr>
                            <w:fldChar w:fldCharType="begin"/>
                          </w:r>
                          <w:r>
                            <w:rPr>
                              <w:rFonts w:hint="default" w:ascii="Times New Roman" w:hAnsi="Times New Roman" w:cs="Times New Roman"/>
                              <w:sz w:val="21"/>
                              <w:szCs w:val="22"/>
                            </w:rPr>
                            <w:instrText xml:space="preserve"> PAGE  \* MERGEFORMAT </w:instrText>
                          </w:r>
                          <w:r>
                            <w:rPr>
                              <w:rFonts w:hint="default" w:ascii="Times New Roman" w:hAnsi="Times New Roman" w:cs="Times New Roman"/>
                              <w:sz w:val="21"/>
                              <w:szCs w:val="22"/>
                            </w:rPr>
                            <w:fldChar w:fldCharType="separate"/>
                          </w:r>
                          <w:r>
                            <w:rPr>
                              <w:rFonts w:hint="default" w:ascii="Times New Roman" w:hAnsi="Times New Roman" w:cs="Times New Roman"/>
                              <w:sz w:val="21"/>
                              <w:szCs w:val="22"/>
                            </w:rPr>
                            <w:t>1</w:t>
                          </w:r>
                          <w:r>
                            <w:rPr>
                              <w:rFonts w:hint="default" w:ascii="Times New Roman" w:hAnsi="Times New Roman" w:cs="Times New Roman"/>
                              <w:sz w:val="21"/>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7C67F0E3">
                    <w:pPr>
                      <w:pStyle w:val="11"/>
                      <w:rPr>
                        <w:rFonts w:hint="default" w:ascii="Times New Roman" w:hAnsi="Times New Roman" w:cs="Times New Roman"/>
                        <w:sz w:val="21"/>
                        <w:szCs w:val="22"/>
                      </w:rPr>
                    </w:pPr>
                    <w:r>
                      <w:rPr>
                        <w:rFonts w:hint="default" w:ascii="Times New Roman" w:hAnsi="Times New Roman" w:cs="Times New Roman"/>
                        <w:sz w:val="21"/>
                        <w:szCs w:val="22"/>
                      </w:rPr>
                      <w:fldChar w:fldCharType="begin"/>
                    </w:r>
                    <w:r>
                      <w:rPr>
                        <w:rFonts w:hint="default" w:ascii="Times New Roman" w:hAnsi="Times New Roman" w:cs="Times New Roman"/>
                        <w:sz w:val="21"/>
                        <w:szCs w:val="22"/>
                      </w:rPr>
                      <w:instrText xml:space="preserve"> PAGE  \* MERGEFORMAT </w:instrText>
                    </w:r>
                    <w:r>
                      <w:rPr>
                        <w:rFonts w:hint="default" w:ascii="Times New Roman" w:hAnsi="Times New Roman" w:cs="Times New Roman"/>
                        <w:sz w:val="21"/>
                        <w:szCs w:val="22"/>
                      </w:rPr>
                      <w:fldChar w:fldCharType="separate"/>
                    </w:r>
                    <w:r>
                      <w:rPr>
                        <w:rFonts w:hint="default" w:ascii="Times New Roman" w:hAnsi="Times New Roman" w:cs="Times New Roman"/>
                        <w:sz w:val="21"/>
                        <w:szCs w:val="22"/>
                      </w:rPr>
                      <w:t>1</w:t>
                    </w:r>
                    <w:r>
                      <w:rPr>
                        <w:rFonts w:hint="default" w:ascii="Times New Roman" w:hAnsi="Times New Roman" w:cs="Times New Roman"/>
                        <w:sz w:val="21"/>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FF886">
    <w:pPr>
      <w:spacing w:line="176" w:lineRule="auto"/>
      <w:ind w:left="91"/>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CCB40">
                          <w:pPr>
                            <w:pStyle w:val="1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68CCB40">
                    <w:pPr>
                      <w:pStyle w:val="1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3AFB">
    <w:pPr>
      <w:spacing w:line="174" w:lineRule="auto"/>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58AA4">
                          <w:pPr>
                            <w:pStyle w:val="1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CE58AA4">
                    <w:pPr>
                      <w:pStyle w:val="1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A472F">
    <w:pPr>
      <w:spacing w:line="176" w:lineRule="auto"/>
      <w:rPr>
        <w:rFonts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9B2EB">
                          <w:pPr>
                            <w:pStyle w:val="11"/>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5899B2EB">
                    <w:pPr>
                      <w:pStyle w:val="11"/>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6C178"/>
    <w:multiLevelType w:val="singleLevel"/>
    <w:tmpl w:val="AC66C178"/>
    <w:lvl w:ilvl="0" w:tentative="0">
      <w:start w:val="1"/>
      <w:numFmt w:val="upperLetter"/>
      <w:suff w:val="nothing"/>
      <w:lvlText w:val="%1、"/>
      <w:lvlJc w:val="left"/>
    </w:lvl>
  </w:abstractNum>
  <w:abstractNum w:abstractNumId="1">
    <w:nsid w:val="DAF51E95"/>
    <w:multiLevelType w:val="singleLevel"/>
    <w:tmpl w:val="DAF51E95"/>
    <w:lvl w:ilvl="0" w:tentative="0">
      <w:start w:val="3"/>
      <w:numFmt w:val="decimal"/>
      <w:suff w:val="nothing"/>
      <w:lvlText w:val="（%1）"/>
      <w:lvlJc w:val="left"/>
    </w:lvl>
  </w:abstractNum>
  <w:abstractNum w:abstractNumId="2">
    <w:nsid w:val="F131AA5F"/>
    <w:multiLevelType w:val="singleLevel"/>
    <w:tmpl w:val="F131AA5F"/>
    <w:lvl w:ilvl="0" w:tentative="0">
      <w:start w:val="2"/>
      <w:numFmt w:val="decimal"/>
      <w:suff w:val="nothing"/>
      <w:lvlText w:val="（%1）"/>
      <w:lvlJc w:val="left"/>
    </w:lvl>
  </w:abstractNum>
  <w:abstractNum w:abstractNumId="3">
    <w:nsid w:val="3E12B6D5"/>
    <w:multiLevelType w:val="singleLevel"/>
    <w:tmpl w:val="3E12B6D5"/>
    <w:lvl w:ilvl="0" w:tentative="0">
      <w:start w:val="2"/>
      <w:numFmt w:val="decimal"/>
      <w:suff w:val="nothing"/>
      <w:lvlText w:val="（%1）"/>
      <w:lvlJc w:val="left"/>
    </w:lvl>
  </w:abstractNum>
  <w:abstractNum w:abstractNumId="4">
    <w:nsid w:val="469D39E6"/>
    <w:multiLevelType w:val="singleLevel"/>
    <w:tmpl w:val="469D39E6"/>
    <w:lvl w:ilvl="0" w:tentative="0">
      <w:start w:val="2"/>
      <w:numFmt w:val="decimal"/>
      <w:suff w:val="nothing"/>
      <w:lvlText w:val="（%1）"/>
      <w:lvlJc w:val="left"/>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WUyOTRlMzcwNjQ5OTk4ODdhMTg3ZDAyMWY5Y2VhMDEifQ=="/>
  </w:docVars>
  <w:rsids>
    <w:rsidRoot w:val="00000000"/>
    <w:rsid w:val="0021598C"/>
    <w:rsid w:val="009C512B"/>
    <w:rsid w:val="00BE2D61"/>
    <w:rsid w:val="00FF7DFF"/>
    <w:rsid w:val="0101473C"/>
    <w:rsid w:val="014B57E0"/>
    <w:rsid w:val="01A05E55"/>
    <w:rsid w:val="01E94FA7"/>
    <w:rsid w:val="020D001F"/>
    <w:rsid w:val="021653B1"/>
    <w:rsid w:val="028265A2"/>
    <w:rsid w:val="0409689D"/>
    <w:rsid w:val="040B1F02"/>
    <w:rsid w:val="04C61C34"/>
    <w:rsid w:val="04FE7149"/>
    <w:rsid w:val="050C350A"/>
    <w:rsid w:val="057316FE"/>
    <w:rsid w:val="05BF6643"/>
    <w:rsid w:val="05F8241A"/>
    <w:rsid w:val="06BF3AAB"/>
    <w:rsid w:val="06E064B8"/>
    <w:rsid w:val="07BB020A"/>
    <w:rsid w:val="07E33BC6"/>
    <w:rsid w:val="08375485"/>
    <w:rsid w:val="083E3367"/>
    <w:rsid w:val="08821889"/>
    <w:rsid w:val="08897236"/>
    <w:rsid w:val="08A91113"/>
    <w:rsid w:val="09C05A64"/>
    <w:rsid w:val="09CE4504"/>
    <w:rsid w:val="0A006795"/>
    <w:rsid w:val="0A02083D"/>
    <w:rsid w:val="0A285313"/>
    <w:rsid w:val="0A32110A"/>
    <w:rsid w:val="0A6D3361"/>
    <w:rsid w:val="0A8A30C6"/>
    <w:rsid w:val="0A8B19D7"/>
    <w:rsid w:val="0B131754"/>
    <w:rsid w:val="0B1C32F5"/>
    <w:rsid w:val="0B4369AD"/>
    <w:rsid w:val="0B7068C6"/>
    <w:rsid w:val="0BE5524C"/>
    <w:rsid w:val="0C397593"/>
    <w:rsid w:val="0C763B96"/>
    <w:rsid w:val="0D853E97"/>
    <w:rsid w:val="0D864AAB"/>
    <w:rsid w:val="0DD81B41"/>
    <w:rsid w:val="0DD938DD"/>
    <w:rsid w:val="0E2942EF"/>
    <w:rsid w:val="0E8147DA"/>
    <w:rsid w:val="0E9C28D6"/>
    <w:rsid w:val="0EB32E12"/>
    <w:rsid w:val="0F087CA4"/>
    <w:rsid w:val="0F3A3000"/>
    <w:rsid w:val="0F5074B0"/>
    <w:rsid w:val="0FAA40CB"/>
    <w:rsid w:val="0FD54D8B"/>
    <w:rsid w:val="0FEA39FF"/>
    <w:rsid w:val="10B82137"/>
    <w:rsid w:val="10C637BC"/>
    <w:rsid w:val="10E337E7"/>
    <w:rsid w:val="110459B2"/>
    <w:rsid w:val="11407EDB"/>
    <w:rsid w:val="1141362E"/>
    <w:rsid w:val="11812FF9"/>
    <w:rsid w:val="11875006"/>
    <w:rsid w:val="11E82F0D"/>
    <w:rsid w:val="120313D2"/>
    <w:rsid w:val="13267A75"/>
    <w:rsid w:val="13624C74"/>
    <w:rsid w:val="13A03E63"/>
    <w:rsid w:val="13E71D4A"/>
    <w:rsid w:val="14694E5B"/>
    <w:rsid w:val="14B6799E"/>
    <w:rsid w:val="14DB6DDF"/>
    <w:rsid w:val="14FF4B03"/>
    <w:rsid w:val="15786FC5"/>
    <w:rsid w:val="159F1C51"/>
    <w:rsid w:val="15D2172A"/>
    <w:rsid w:val="16364BD1"/>
    <w:rsid w:val="165F2A2B"/>
    <w:rsid w:val="168E4ED2"/>
    <w:rsid w:val="169E2CDD"/>
    <w:rsid w:val="17397896"/>
    <w:rsid w:val="17654071"/>
    <w:rsid w:val="177F76C0"/>
    <w:rsid w:val="17B51C6B"/>
    <w:rsid w:val="17E97F3F"/>
    <w:rsid w:val="185B44AB"/>
    <w:rsid w:val="1891247D"/>
    <w:rsid w:val="18BE4682"/>
    <w:rsid w:val="19CA4F1C"/>
    <w:rsid w:val="1A033449"/>
    <w:rsid w:val="1A2E1DEC"/>
    <w:rsid w:val="1A486461"/>
    <w:rsid w:val="1A896419"/>
    <w:rsid w:val="1BB16087"/>
    <w:rsid w:val="1C6D605A"/>
    <w:rsid w:val="1C9A212D"/>
    <w:rsid w:val="1CA26503"/>
    <w:rsid w:val="1CC01715"/>
    <w:rsid w:val="1CD10AEB"/>
    <w:rsid w:val="1CEE1B81"/>
    <w:rsid w:val="1D41005D"/>
    <w:rsid w:val="1D6B337D"/>
    <w:rsid w:val="1D893B02"/>
    <w:rsid w:val="1E1D274C"/>
    <w:rsid w:val="1E2E5632"/>
    <w:rsid w:val="1EC232C0"/>
    <w:rsid w:val="1ECA6C91"/>
    <w:rsid w:val="1EFF334F"/>
    <w:rsid w:val="1F997CC5"/>
    <w:rsid w:val="200D34F7"/>
    <w:rsid w:val="20484458"/>
    <w:rsid w:val="206F20D9"/>
    <w:rsid w:val="20BE6601"/>
    <w:rsid w:val="20EA205B"/>
    <w:rsid w:val="213E729F"/>
    <w:rsid w:val="21BE54E6"/>
    <w:rsid w:val="21C97E4F"/>
    <w:rsid w:val="21D53194"/>
    <w:rsid w:val="220E280D"/>
    <w:rsid w:val="221B7181"/>
    <w:rsid w:val="225737EB"/>
    <w:rsid w:val="2288344F"/>
    <w:rsid w:val="22FF791A"/>
    <w:rsid w:val="23515517"/>
    <w:rsid w:val="2363084C"/>
    <w:rsid w:val="239B783C"/>
    <w:rsid w:val="247C0DC3"/>
    <w:rsid w:val="24EE7D35"/>
    <w:rsid w:val="25E07CE4"/>
    <w:rsid w:val="25F74A2E"/>
    <w:rsid w:val="26701FD5"/>
    <w:rsid w:val="27651E6B"/>
    <w:rsid w:val="28880B95"/>
    <w:rsid w:val="28F11096"/>
    <w:rsid w:val="29443AEB"/>
    <w:rsid w:val="2A0D7503"/>
    <w:rsid w:val="2A621AE1"/>
    <w:rsid w:val="2B041CE5"/>
    <w:rsid w:val="2B6317F3"/>
    <w:rsid w:val="2BE3691B"/>
    <w:rsid w:val="2C112EB8"/>
    <w:rsid w:val="2C14638A"/>
    <w:rsid w:val="2C7C5244"/>
    <w:rsid w:val="2CAB24C8"/>
    <w:rsid w:val="2DA4493C"/>
    <w:rsid w:val="2DB23EB9"/>
    <w:rsid w:val="2DB37F2E"/>
    <w:rsid w:val="2E1719A1"/>
    <w:rsid w:val="2EA2404D"/>
    <w:rsid w:val="2ED040A9"/>
    <w:rsid w:val="30471E1A"/>
    <w:rsid w:val="308654F0"/>
    <w:rsid w:val="310E70F3"/>
    <w:rsid w:val="315423E2"/>
    <w:rsid w:val="318B70A1"/>
    <w:rsid w:val="336E20A7"/>
    <w:rsid w:val="33877982"/>
    <w:rsid w:val="33A8530D"/>
    <w:rsid w:val="34572B3B"/>
    <w:rsid w:val="34700E68"/>
    <w:rsid w:val="347C38B8"/>
    <w:rsid w:val="34A5360F"/>
    <w:rsid w:val="34D868C0"/>
    <w:rsid w:val="35151B40"/>
    <w:rsid w:val="35345733"/>
    <w:rsid w:val="353635B7"/>
    <w:rsid w:val="35BA00D8"/>
    <w:rsid w:val="36304799"/>
    <w:rsid w:val="363C2B82"/>
    <w:rsid w:val="36C8629A"/>
    <w:rsid w:val="372406BC"/>
    <w:rsid w:val="37390631"/>
    <w:rsid w:val="376857EA"/>
    <w:rsid w:val="37825AA8"/>
    <w:rsid w:val="379540A7"/>
    <w:rsid w:val="37E20AC0"/>
    <w:rsid w:val="38CA15D7"/>
    <w:rsid w:val="38CC35FF"/>
    <w:rsid w:val="38D62E85"/>
    <w:rsid w:val="38F103E5"/>
    <w:rsid w:val="3A133AB1"/>
    <w:rsid w:val="3A1872B3"/>
    <w:rsid w:val="3A940F3C"/>
    <w:rsid w:val="3B0B3924"/>
    <w:rsid w:val="3B47175F"/>
    <w:rsid w:val="3BC3265E"/>
    <w:rsid w:val="3BFD7853"/>
    <w:rsid w:val="3C3772B6"/>
    <w:rsid w:val="3CF97798"/>
    <w:rsid w:val="3D191B48"/>
    <w:rsid w:val="3D717FF4"/>
    <w:rsid w:val="3DA42EBC"/>
    <w:rsid w:val="3E19304A"/>
    <w:rsid w:val="3EB42FCB"/>
    <w:rsid w:val="3EEB0889"/>
    <w:rsid w:val="3F042CCF"/>
    <w:rsid w:val="3F1415B6"/>
    <w:rsid w:val="3FA01AC3"/>
    <w:rsid w:val="3FB80340"/>
    <w:rsid w:val="3FD4482D"/>
    <w:rsid w:val="3FFF7CD3"/>
    <w:rsid w:val="40315EEB"/>
    <w:rsid w:val="405C40E2"/>
    <w:rsid w:val="407313B2"/>
    <w:rsid w:val="410045ED"/>
    <w:rsid w:val="410B1B9E"/>
    <w:rsid w:val="41732C34"/>
    <w:rsid w:val="417E46EB"/>
    <w:rsid w:val="41C07F72"/>
    <w:rsid w:val="423E4B07"/>
    <w:rsid w:val="428F41B1"/>
    <w:rsid w:val="42CA46A0"/>
    <w:rsid w:val="42F207AE"/>
    <w:rsid w:val="434D6963"/>
    <w:rsid w:val="43556E71"/>
    <w:rsid w:val="43C679B6"/>
    <w:rsid w:val="43DD2469"/>
    <w:rsid w:val="444F35E5"/>
    <w:rsid w:val="44A31931"/>
    <w:rsid w:val="44A80111"/>
    <w:rsid w:val="44C9507A"/>
    <w:rsid w:val="44D140C1"/>
    <w:rsid w:val="45352C8E"/>
    <w:rsid w:val="4540217C"/>
    <w:rsid w:val="456F25B6"/>
    <w:rsid w:val="45982D0F"/>
    <w:rsid w:val="45A93C99"/>
    <w:rsid w:val="45B34BE2"/>
    <w:rsid w:val="4604323F"/>
    <w:rsid w:val="4622349E"/>
    <w:rsid w:val="46241472"/>
    <w:rsid w:val="46605DFF"/>
    <w:rsid w:val="468C2973"/>
    <w:rsid w:val="472C65C6"/>
    <w:rsid w:val="472C68B1"/>
    <w:rsid w:val="47306EFC"/>
    <w:rsid w:val="47314FB8"/>
    <w:rsid w:val="478B021B"/>
    <w:rsid w:val="47DD7EC1"/>
    <w:rsid w:val="48404F7C"/>
    <w:rsid w:val="48715BEA"/>
    <w:rsid w:val="48CA4517"/>
    <w:rsid w:val="48D554E2"/>
    <w:rsid w:val="48E86BB6"/>
    <w:rsid w:val="48EF2B17"/>
    <w:rsid w:val="49A870C9"/>
    <w:rsid w:val="49B3177D"/>
    <w:rsid w:val="49D473BD"/>
    <w:rsid w:val="4A0B2F2F"/>
    <w:rsid w:val="4A143F78"/>
    <w:rsid w:val="4A161A0F"/>
    <w:rsid w:val="4A563067"/>
    <w:rsid w:val="4A6C06E2"/>
    <w:rsid w:val="4ADA2097"/>
    <w:rsid w:val="4B7778F3"/>
    <w:rsid w:val="4BAA29EF"/>
    <w:rsid w:val="4BAB0876"/>
    <w:rsid w:val="4BB310D5"/>
    <w:rsid w:val="4BE03DF4"/>
    <w:rsid w:val="4C0249A2"/>
    <w:rsid w:val="4D0104C8"/>
    <w:rsid w:val="4D1004B3"/>
    <w:rsid w:val="4D377501"/>
    <w:rsid w:val="4D3F0C9E"/>
    <w:rsid w:val="4D504DB6"/>
    <w:rsid w:val="4D840EDE"/>
    <w:rsid w:val="4DF77A42"/>
    <w:rsid w:val="4E4640DB"/>
    <w:rsid w:val="4EA737B9"/>
    <w:rsid w:val="4EC00900"/>
    <w:rsid w:val="4F5044F4"/>
    <w:rsid w:val="4FC11A2C"/>
    <w:rsid w:val="4FEE03A0"/>
    <w:rsid w:val="4FF21C31"/>
    <w:rsid w:val="503A6E6F"/>
    <w:rsid w:val="503E39AD"/>
    <w:rsid w:val="50640341"/>
    <w:rsid w:val="50B06643"/>
    <w:rsid w:val="50FC4762"/>
    <w:rsid w:val="510732E0"/>
    <w:rsid w:val="51ED2D6A"/>
    <w:rsid w:val="532A5B93"/>
    <w:rsid w:val="53591CBA"/>
    <w:rsid w:val="53B44E34"/>
    <w:rsid w:val="53EA1624"/>
    <w:rsid w:val="54BB7569"/>
    <w:rsid w:val="551245A6"/>
    <w:rsid w:val="55B01F1F"/>
    <w:rsid w:val="55F718A1"/>
    <w:rsid w:val="564447D2"/>
    <w:rsid w:val="566C55EF"/>
    <w:rsid w:val="56AB317D"/>
    <w:rsid w:val="56C30FC4"/>
    <w:rsid w:val="56C675EA"/>
    <w:rsid w:val="56DA561F"/>
    <w:rsid w:val="56FE458A"/>
    <w:rsid w:val="57243F2A"/>
    <w:rsid w:val="57651D76"/>
    <w:rsid w:val="57AA1051"/>
    <w:rsid w:val="57FB18AC"/>
    <w:rsid w:val="58393AC3"/>
    <w:rsid w:val="584D797F"/>
    <w:rsid w:val="5853068D"/>
    <w:rsid w:val="589A764B"/>
    <w:rsid w:val="58EE1A17"/>
    <w:rsid w:val="590904BE"/>
    <w:rsid w:val="591E0730"/>
    <w:rsid w:val="595354F4"/>
    <w:rsid w:val="59A3072B"/>
    <w:rsid w:val="59DB2104"/>
    <w:rsid w:val="59DF0C43"/>
    <w:rsid w:val="59E06FAB"/>
    <w:rsid w:val="59E9055B"/>
    <w:rsid w:val="5A43785A"/>
    <w:rsid w:val="5A474DA3"/>
    <w:rsid w:val="5AA169F3"/>
    <w:rsid w:val="5AA37D5A"/>
    <w:rsid w:val="5AD846F3"/>
    <w:rsid w:val="5B1D29AD"/>
    <w:rsid w:val="5B664A1A"/>
    <w:rsid w:val="5C006AFD"/>
    <w:rsid w:val="5C191EAA"/>
    <w:rsid w:val="5C487FF6"/>
    <w:rsid w:val="5C4C37D3"/>
    <w:rsid w:val="5C6A6CC5"/>
    <w:rsid w:val="5C7A4B60"/>
    <w:rsid w:val="5CFE45C4"/>
    <w:rsid w:val="5D504E66"/>
    <w:rsid w:val="5D643675"/>
    <w:rsid w:val="5E053D4E"/>
    <w:rsid w:val="5E151A3B"/>
    <w:rsid w:val="5E790E58"/>
    <w:rsid w:val="5EE35F18"/>
    <w:rsid w:val="5EEC257C"/>
    <w:rsid w:val="5F3934B0"/>
    <w:rsid w:val="5F4F0D5D"/>
    <w:rsid w:val="5F732BA9"/>
    <w:rsid w:val="5F8A6AAD"/>
    <w:rsid w:val="5F9F3B28"/>
    <w:rsid w:val="602C4AE6"/>
    <w:rsid w:val="60CB35E1"/>
    <w:rsid w:val="61315919"/>
    <w:rsid w:val="619D03D0"/>
    <w:rsid w:val="61B723F1"/>
    <w:rsid w:val="61F0619F"/>
    <w:rsid w:val="62E83D70"/>
    <w:rsid w:val="635E0C5C"/>
    <w:rsid w:val="636827B4"/>
    <w:rsid w:val="63A04400"/>
    <w:rsid w:val="63CC5FE0"/>
    <w:rsid w:val="63ED58BD"/>
    <w:rsid w:val="646D1D84"/>
    <w:rsid w:val="67B90D66"/>
    <w:rsid w:val="682808EE"/>
    <w:rsid w:val="69C82695"/>
    <w:rsid w:val="6A187115"/>
    <w:rsid w:val="6AF677AE"/>
    <w:rsid w:val="6B11520A"/>
    <w:rsid w:val="6B1F2FCC"/>
    <w:rsid w:val="6B412B23"/>
    <w:rsid w:val="6BA7026C"/>
    <w:rsid w:val="6BFE0A9E"/>
    <w:rsid w:val="6C3B57D4"/>
    <w:rsid w:val="6C45136D"/>
    <w:rsid w:val="6D354CAA"/>
    <w:rsid w:val="6D4C28FA"/>
    <w:rsid w:val="6D651186"/>
    <w:rsid w:val="6E0252EB"/>
    <w:rsid w:val="6E907137"/>
    <w:rsid w:val="6EBF1B7B"/>
    <w:rsid w:val="6F3C5864"/>
    <w:rsid w:val="6FDD49B9"/>
    <w:rsid w:val="70685B91"/>
    <w:rsid w:val="70ED2C5A"/>
    <w:rsid w:val="71224B2C"/>
    <w:rsid w:val="71781E04"/>
    <w:rsid w:val="71853CF2"/>
    <w:rsid w:val="71BE277C"/>
    <w:rsid w:val="72365481"/>
    <w:rsid w:val="72606438"/>
    <w:rsid w:val="72670850"/>
    <w:rsid w:val="72961464"/>
    <w:rsid w:val="72D32CC5"/>
    <w:rsid w:val="731214D3"/>
    <w:rsid w:val="744D0E1E"/>
    <w:rsid w:val="74992B59"/>
    <w:rsid w:val="74CE2F0C"/>
    <w:rsid w:val="7553759C"/>
    <w:rsid w:val="75763DA0"/>
    <w:rsid w:val="75874327"/>
    <w:rsid w:val="762C1C24"/>
    <w:rsid w:val="76BD2345"/>
    <w:rsid w:val="76D84647"/>
    <w:rsid w:val="77C701C4"/>
    <w:rsid w:val="77DF7C57"/>
    <w:rsid w:val="789B7DE9"/>
    <w:rsid w:val="78A40FB1"/>
    <w:rsid w:val="79F652A8"/>
    <w:rsid w:val="7B06662F"/>
    <w:rsid w:val="7BA80346"/>
    <w:rsid w:val="7BC92C3D"/>
    <w:rsid w:val="7C3C6A63"/>
    <w:rsid w:val="7C3F595C"/>
    <w:rsid w:val="7C6150F6"/>
    <w:rsid w:val="7CDA1CDD"/>
    <w:rsid w:val="7CF372B2"/>
    <w:rsid w:val="7CFB25E5"/>
    <w:rsid w:val="7D1666BD"/>
    <w:rsid w:val="7D765899"/>
    <w:rsid w:val="7EA31E58"/>
    <w:rsid w:val="7EB659CB"/>
    <w:rsid w:val="7EFB0260"/>
    <w:rsid w:val="7F0E192E"/>
    <w:rsid w:val="7F137265"/>
    <w:rsid w:val="7F3C2DB3"/>
    <w:rsid w:val="7F5A0D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paragraph" w:styleId="3">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left"/>
    </w:pPr>
  </w:style>
  <w:style w:type="paragraph" w:styleId="6">
    <w:name w:val="caption"/>
    <w:basedOn w:val="1"/>
    <w:next w:val="1"/>
    <w:qFormat/>
    <w:uiPriority w:val="0"/>
    <w:pPr>
      <w:keepNext w:val="0"/>
      <w:keepLines w:val="0"/>
      <w:widowControl/>
      <w:suppressLineNumbers w:val="0"/>
      <w:adjustRightInd/>
      <w:snapToGrid/>
      <w:spacing w:before="0" w:beforeLines="0" w:beforeAutospacing="0" w:after="0" w:afterLines="0" w:afterAutospacing="0" w:line="240" w:lineRule="auto"/>
      <w:ind w:left="0" w:right="0" w:firstLine="0" w:firstLineChars="0"/>
      <w:jc w:val="left"/>
    </w:pPr>
    <w:rPr>
      <w:rFonts w:ascii="Arial" w:hAnsi="Arial" w:eastAsia="黑体" w:cs="Arial"/>
      <w:snapToGrid/>
      <w:kern w:val="0"/>
      <w:sz w:val="20"/>
      <w:szCs w:val="24"/>
      <w:lang w:val="en-US" w:eastAsia="zh-CN" w:bidi="ar-SA"/>
    </w:rPr>
  </w:style>
  <w:style w:type="paragraph" w:styleId="7">
    <w:name w:val="annotation text"/>
    <w:basedOn w:val="1"/>
    <w:semiHidden/>
    <w:qFormat/>
    <w:uiPriority w:val="0"/>
    <w:pPr>
      <w:widowControl w:val="0"/>
      <w:jc w:val="left"/>
    </w:pPr>
    <w:rPr>
      <w:rFonts w:ascii="Times New Roman" w:hAnsi="Times New Roman" w:eastAsia="宋体" w:cs="Times New Roman"/>
      <w:kern w:val="0"/>
      <w:sz w:val="24"/>
      <w:szCs w:val="20"/>
      <w:lang w:val="en-US" w:eastAsia="zh-CN" w:bidi="ar-SA"/>
    </w:rPr>
  </w:style>
  <w:style w:type="paragraph" w:styleId="8">
    <w:name w:val="Body Text"/>
    <w:basedOn w:val="1"/>
    <w:qFormat/>
    <w:uiPriority w:val="0"/>
    <w:pPr>
      <w:widowControl/>
      <w:snapToGrid w:val="0"/>
      <w:spacing w:before="60" w:after="160" w:line="259" w:lineRule="auto"/>
      <w:ind w:right="113"/>
    </w:pPr>
    <w:rPr>
      <w:kern w:val="0"/>
      <w:sz w:val="18"/>
      <w:szCs w:val="20"/>
    </w:rPr>
  </w:style>
  <w:style w:type="paragraph" w:styleId="9">
    <w:name w:val="Body Text Indent"/>
    <w:basedOn w:val="1"/>
    <w:qFormat/>
    <w:uiPriority w:val="0"/>
    <w:pPr>
      <w:spacing w:after="120"/>
      <w:ind w:left="420" w:leftChars="200"/>
    </w:pPr>
    <w:rPr>
      <w:kern w:val="0"/>
      <w:sz w:val="24"/>
      <w:szCs w:val="20"/>
    </w:rPr>
  </w:style>
  <w:style w:type="paragraph" w:styleId="10">
    <w:name w:val="Plain Text"/>
    <w:basedOn w:val="1"/>
    <w:next w:val="8"/>
    <w:qFormat/>
    <w:uiPriority w:val="0"/>
    <w:pPr>
      <w:spacing w:line="240" w:lineRule="atLeast"/>
      <w:jc w:val="center"/>
    </w:pPr>
    <w:rPr>
      <w:rFonts w:ascii="宋体" w:hAnsi="宋体"/>
      <w:color w:val="000000"/>
      <w:szCs w:val="20"/>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toc 1"/>
    <w:basedOn w:val="1"/>
    <w:next w:val="1"/>
    <w:qFormat/>
    <w:uiPriority w:val="0"/>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w:basedOn w:val="8"/>
    <w:next w:val="1"/>
    <w:qFormat/>
    <w:uiPriority w:val="0"/>
    <w:pPr>
      <w:ind w:firstLine="420" w:firstLineChars="100"/>
    </w:pPr>
  </w:style>
  <w:style w:type="paragraph" w:styleId="16">
    <w:name w:val="Body Text First Indent 2"/>
    <w:basedOn w:val="9"/>
    <w:next w:val="15"/>
    <w:unhideWhenUsed/>
    <w:qFormat/>
    <w:uiPriority w:val="0"/>
    <w:pPr>
      <w:ind w:firstLine="420"/>
    </w:pPr>
    <w:rPr>
      <w:rFonts w:cs="Times New Roman"/>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semiHidden/>
    <w:qFormat/>
    <w:uiPriority w:val="0"/>
    <w:rPr>
      <w:sz w:val="21"/>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H图表内容"/>
    <w:basedOn w:val="1"/>
    <w:qFormat/>
    <w:uiPriority w:val="0"/>
    <w:rPr>
      <w:szCs w:val="20"/>
    </w:rPr>
  </w:style>
  <w:style w:type="paragraph" w:customStyle="1" w:styleId="23">
    <w:name w:val="A表格标题"/>
    <w:qFormat/>
    <w:uiPriority w:val="0"/>
    <w:pPr>
      <w:widowControl w:val="0"/>
      <w:spacing w:before="156" w:beforeLines="50" w:line="360" w:lineRule="auto"/>
      <w:jc w:val="center"/>
    </w:pPr>
    <w:rPr>
      <w:rFonts w:ascii="Times New Roman" w:hAnsi="Times New Roman" w:eastAsia="黑体" w:cs="Times New Roman"/>
      <w:kern w:val="0"/>
      <w:sz w:val="24"/>
      <w:szCs w:val="20"/>
      <w:lang w:val="en-US" w:eastAsia="zh-CN" w:bidi="ar-SA"/>
    </w:rPr>
  </w:style>
  <w:style w:type="paragraph" w:customStyle="1" w:styleId="24">
    <w:name w:val="A表格内容"/>
    <w:qFormat/>
    <w:uiPriority w:val="0"/>
    <w:pPr>
      <w:widowControl w:val="0"/>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eastAsia="宋体" w:cs="宋体"/>
      <w:kern w:val="2"/>
      <w:sz w:val="21"/>
      <w:szCs w:val="20"/>
      <w:lang w:val="en-US" w:eastAsia="zh-CN" w:bidi="ar-SA"/>
    </w:rPr>
  </w:style>
  <w:style w:type="paragraph" w:customStyle="1" w:styleId="25">
    <w:name w:val="表格固定文字"/>
    <w:qFormat/>
    <w:uiPriority w:val="0"/>
    <w:pPr>
      <w:widowControl w:val="0"/>
      <w:ind w:firstLine="0"/>
      <w:jc w:val="both"/>
    </w:pPr>
    <w:rPr>
      <w:rFonts w:ascii="Times New Roman" w:hAnsi="Times New Roman" w:eastAsia="宋体" w:cs="Times New Roman"/>
      <w:kern w:val="2"/>
      <w:sz w:val="21"/>
      <w:szCs w:val="24"/>
      <w:lang w:val="en-US" w:eastAsia="zh-CN" w:bidi="ar-SA"/>
    </w:rPr>
  </w:style>
  <w:style w:type="paragraph" w:customStyle="1" w:styleId="26">
    <w:name w:val="Default"/>
    <w:qFormat/>
    <w:uiPriority w:val="0"/>
    <w:pPr>
      <w:widowControl w:val="0"/>
      <w:autoSpaceDE w:val="0"/>
      <w:autoSpaceDN w:val="0"/>
      <w:adjustRightInd w:val="0"/>
    </w:pPr>
    <w:rPr>
      <w:rFonts w:ascii="Calibri" w:hAnsi="Calibri" w:eastAsia="Calibri" w:cs="Arial"/>
      <w:color w:val="000000"/>
      <w:sz w:val="24"/>
      <w:szCs w:val="24"/>
      <w:lang w:val="en-US" w:eastAsia="zh-CN" w:bidi="ar-SA"/>
    </w:rPr>
  </w:style>
  <w:style w:type="paragraph" w:customStyle="1" w:styleId="27">
    <w:name w:val="表格文字11"/>
    <w:basedOn w:val="1"/>
    <w:qFormat/>
    <w:uiPriority w:val="0"/>
    <w:pPr>
      <w:jc w:val="center"/>
    </w:pPr>
    <w:rPr>
      <w:rFonts w:ascii="Times New Roman" w:hAnsi="Times New Roman" w:eastAsia="宋体" w:cs="宋体"/>
      <w:color w:val="000000"/>
      <w:sz w:val="24"/>
    </w:rPr>
  </w:style>
  <w:style w:type="paragraph" w:customStyle="1" w:styleId="28">
    <w:name w:val="表格内文字"/>
    <w:basedOn w:val="1"/>
    <w:qFormat/>
    <w:uiPriority w:val="0"/>
    <w:pPr>
      <w:tabs>
        <w:tab w:val="left" w:pos="0"/>
      </w:tabs>
      <w:adjustRightInd w:val="0"/>
      <w:snapToGrid w:val="0"/>
      <w:jc w:val="center"/>
    </w:pPr>
    <w:rPr>
      <w:szCs w:val="21"/>
    </w:rPr>
  </w:style>
  <w:style w:type="paragraph" w:customStyle="1" w:styleId="29">
    <w:name w:val="表的标题"/>
    <w:basedOn w:val="1"/>
    <w:next w:val="1"/>
    <w:qFormat/>
    <w:uiPriority w:val="0"/>
    <w:pPr>
      <w:adjustRightInd w:val="0"/>
      <w:snapToGrid w:val="0"/>
      <w:spacing w:before="50" w:beforeLines="50" w:line="240" w:lineRule="auto"/>
      <w:ind w:firstLine="0" w:firstLineChars="0"/>
      <w:jc w:val="center"/>
    </w:pPr>
    <w:rPr>
      <w:rFonts w:ascii="Times New Roman" w:hAnsi="Times New Roman" w:eastAsia="黑体"/>
      <w:kern w:val="2"/>
      <w:szCs w:val="20"/>
    </w:rPr>
  </w:style>
  <w:style w:type="paragraph" w:customStyle="1" w:styleId="30">
    <w:name w:val="表的内容"/>
    <w:basedOn w:val="1"/>
    <w:semiHidden/>
    <w:qFormat/>
    <w:uiPriority w:val="0"/>
    <w:pPr>
      <w:spacing w:line="340" w:lineRule="exact"/>
      <w:jc w:val="center"/>
    </w:pPr>
  </w:style>
  <w:style w:type="paragraph" w:customStyle="1" w:styleId="31">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32">
    <w:name w:val="表格标题"/>
    <w:next w:val="1"/>
    <w:qFormat/>
    <w:uiPriority w:val="0"/>
    <w:pPr>
      <w:spacing w:line="360" w:lineRule="auto"/>
      <w:jc w:val="center"/>
    </w:pPr>
    <w:rPr>
      <w:rFonts w:ascii="Calibri" w:hAnsi="Calibri" w:eastAsia="Times New Roman" w:cs="Times New Roman"/>
      <w:b/>
      <w:sz w:val="24"/>
      <w:szCs w:val="24"/>
      <w:lang w:val="en-US" w:eastAsia="zh-CN" w:bidi="ar-SA"/>
    </w:rPr>
  </w:style>
  <w:style w:type="paragraph" w:customStyle="1" w:styleId="33">
    <w:name w:val="表格的字"/>
    <w:basedOn w:val="34"/>
    <w:next w:val="1"/>
    <w:qFormat/>
    <w:uiPriority w:val="0"/>
    <w:pPr>
      <w:jc w:val="center"/>
    </w:pPr>
    <w:rPr>
      <w:szCs w:val="21"/>
      <w:lang w:val="en-US" w:eastAsia="zh-CN" w:bidi="ar-SA"/>
    </w:rPr>
  </w:style>
  <w:style w:type="paragraph" w:customStyle="1" w:styleId="34">
    <w:name w:val="项目基本情况的字"/>
    <w:basedOn w:val="1"/>
    <w:qFormat/>
    <w:uiPriority w:val="0"/>
    <w:pPr>
      <w:jc w:val="center"/>
    </w:pPr>
    <w:rPr>
      <w:rFonts w:cs="宋体"/>
    </w:rPr>
  </w:style>
  <w:style w:type="paragraph" w:customStyle="1" w:styleId="35">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6">
    <w:name w:val="表格内容"/>
    <w:basedOn w:val="1"/>
    <w:qFormat/>
    <w:uiPriority w:val="0"/>
    <w:pPr>
      <w:overflowPunct w:val="0"/>
      <w:adjustRightInd w:val="0"/>
      <w:snapToGrid w:val="0"/>
      <w:spacing w:line="340" w:lineRule="exact"/>
      <w:jc w:val="center"/>
      <w:textAlignment w:val="baseline"/>
    </w:pPr>
    <w:rPr>
      <w:kern w:val="0"/>
      <w:szCs w:val="20"/>
    </w:rPr>
  </w:style>
  <w:style w:type="paragraph" w:customStyle="1" w:styleId="37">
    <w:name w:val="Table Text"/>
    <w:basedOn w:val="1"/>
    <w:semiHidden/>
    <w:qFormat/>
    <w:uiPriority w:val="0"/>
    <w:rPr>
      <w:rFonts w:ascii="宋体" w:hAnsi="宋体" w:eastAsia="宋体" w:cs="宋体"/>
      <w:sz w:val="24"/>
      <w:szCs w:val="24"/>
      <w:lang w:val="en-US" w:eastAsia="en-US" w:bidi="ar-SA"/>
    </w:rPr>
  </w:style>
  <w:style w:type="paragraph" w:customStyle="1" w:styleId="38">
    <w:name w:val="正 文"/>
    <w:qFormat/>
    <w:uiPriority w:val="0"/>
    <w:pPr>
      <w:widowControl w:val="0"/>
      <w:spacing w:line="480" w:lineRule="exact"/>
      <w:ind w:firstLine="471"/>
      <w:jc w:val="both"/>
    </w:pPr>
    <w:rPr>
      <w:rFonts w:ascii="Arial" w:hAnsi="Arial" w:eastAsia="宋体" w:cs="Times New Roman"/>
      <w:kern w:val="2"/>
      <w:sz w:val="24"/>
      <w:lang w:val="en-US" w:eastAsia="zh-CN" w:bidi="ar-SA"/>
    </w:rPr>
  </w:style>
  <w:style w:type="paragraph" w:customStyle="1" w:styleId="39">
    <w:name w:val="[正文格式]"/>
    <w:basedOn w:val="1"/>
    <w:qFormat/>
    <w:uiPriority w:val="0"/>
    <w:pPr>
      <w:spacing w:line="440" w:lineRule="exact"/>
      <w:ind w:firstLine="480" w:firstLineChars="200"/>
    </w:pPr>
    <w:rPr>
      <w:rFonts w:ascii="Calibri" w:hAnsi="Calibri" w:cs="宋体"/>
      <w:color w:val="000000"/>
      <w:sz w:val="24"/>
    </w:rPr>
  </w:style>
  <w:style w:type="character" w:customStyle="1" w:styleId="40">
    <w:name w:val="fontstyle01"/>
    <w:qFormat/>
    <w:uiPriority w:val="0"/>
    <w:rPr>
      <w:rFonts w:hint="eastAsia" w:ascii="宋体" w:hAnsi="宋体" w:eastAsia="宋体"/>
      <w:color w:val="000000"/>
      <w:sz w:val="24"/>
      <w:szCs w:val="24"/>
    </w:rPr>
  </w:style>
  <w:style w:type="paragraph" w:customStyle="1" w:styleId="4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2">
    <w:name w:val="0正文"/>
    <w:basedOn w:val="9"/>
    <w:unhideWhenUsed/>
    <w:qFormat/>
    <w:uiPriority w:val="0"/>
    <w:pPr>
      <w:spacing w:line="360" w:lineRule="auto"/>
      <w:ind w:firstLine="720" w:firstLineChars="200"/>
    </w:pPr>
    <w:rPr>
      <w:szCs w:val="22"/>
    </w:rPr>
  </w:style>
  <w:style w:type="paragraph" w:customStyle="1" w:styleId="43">
    <w:name w:val="表格表头"/>
    <w:basedOn w:val="44"/>
    <w:qFormat/>
    <w:uiPriority w:val="0"/>
    <w:pPr>
      <w:spacing w:before="50" w:beforeLines="50" w:line="240" w:lineRule="auto"/>
      <w:ind w:firstLine="0"/>
      <w:jc w:val="center"/>
    </w:pPr>
    <w:rPr>
      <w:rFonts w:eastAsia="黑体"/>
    </w:rPr>
  </w:style>
  <w:style w:type="paragraph" w:customStyle="1" w:styleId="44">
    <w:name w:val="zhang正文"/>
    <w:basedOn w:val="9"/>
    <w:next w:val="1"/>
    <w:qFormat/>
    <w:uiPriority w:val="0"/>
    <w:pPr>
      <w:snapToGrid w:val="0"/>
      <w:spacing w:after="0" w:afterLines="0" w:line="500" w:lineRule="exact"/>
      <w:ind w:left="0" w:firstLine="539"/>
    </w:pPr>
    <w:rPr>
      <w:rFonts w:eastAsia="楷体_GB2312"/>
      <w:sz w:val="28"/>
    </w:rPr>
  </w:style>
  <w:style w:type="character" w:customStyle="1" w:styleId="45">
    <w:name w:val="font31"/>
    <w:qFormat/>
    <w:uiPriority w:val="0"/>
    <w:rPr>
      <w:rFonts w:hint="default" w:ascii="Times New Roman" w:hAnsi="Times New Roman" w:cs="Times New Roman"/>
      <w:color w:val="000000"/>
      <w:sz w:val="21"/>
      <w:szCs w:val="21"/>
      <w:u w:val="none"/>
      <w:vertAlign w:val="subscript"/>
    </w:rPr>
  </w:style>
  <w:style w:type="character" w:customStyle="1" w:styleId="46">
    <w:name w:val="font21"/>
    <w:basedOn w:val="19"/>
    <w:qFormat/>
    <w:uiPriority w:val="0"/>
    <w:rPr>
      <w:rFonts w:hint="eastAsia" w:ascii="宋体" w:hAnsi="宋体" w:eastAsia="宋体" w:cs="宋体"/>
      <w:b/>
      <w:color w:val="000000"/>
      <w:sz w:val="21"/>
      <w:szCs w:val="21"/>
      <w:u w:val="none"/>
    </w:rPr>
  </w:style>
  <w:style w:type="character" w:customStyle="1" w:styleId="47">
    <w:name w:val="font11"/>
    <w:qFormat/>
    <w:uiPriority w:val="0"/>
    <w:rPr>
      <w:rFonts w:hint="default" w:ascii="Times New Roman" w:hAnsi="Times New Roman" w:cs="Times New Roman"/>
      <w:b/>
      <w:color w:val="000000"/>
      <w:sz w:val="21"/>
      <w:szCs w:val="21"/>
      <w:u w:val="none"/>
      <w:vertAlign w:val="subscript"/>
    </w:rPr>
  </w:style>
  <w:style w:type="paragraph" w:customStyle="1" w:styleId="4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1.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EzMDEzMzk3MDAyIiwKCSJHcm91cElkIiA6ICIxMTA2ODY3MTMiLAoJIkltYWdlIiA6ICJpVkJPUncwS0dnb0FBQUFOU1VoRVVnQUFCRllBQUFJQ0NBWUFBQURsRDBtOUFBQUFBWE5TUjBJQXJzNGM2UUFBSUFCSlJFRlVlSnpzM1hkNEZOWDZCL0R2Tzd0cGhCSWtRYVFaTUNnRTJleHNCTUdDZUxHQ3FOaEJ1WHBSRVJXNTZFVzkySHNCVVZFUVJhNmdLRC9CZ3BVU0ZXd1VoZXhzZ2pRTlVnU2x0d1JJeU82YzN4KzdzMjZTVFdHQmJNcjM4enc4N0U3TEczaDM5c3c3Wjg0Q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SHVmOFBDNG02UWdKV1pGMEFBQUFBU1VWT1JLNUNZSUk9IiwKCSJUaGVtZSIgOiAiIiwKCSJUeXBlIiA6ICJmbG93IiwKCSJVc2VySWQiIDogIjIyMzYzNjg3NyIsCgkiVmVyc2lvbiIgOiAiODEiCn0K"/>
    </extobj>
    <extobj name="ECB019B1-382A-4266-B25C-5B523AA43C14-2">
      <extobjdata type="ECB019B1-382A-4266-B25C-5B523AA43C14" data="ewoJIkZpbGVJZCIgOiAiNDc2MTcxNzI1NjQ0IiwKCSJHcm91cElkIiA6ICIxMTA2ODY3MTMiLAoJIkltYWdlIiA6ICJpVkJPUncwS0dnb0FBQUFOU1VoRVVnQUFBMElBQUFIMkNBWUFBQUJkbWp3K0FBQUFBWE5TUjBJQXJzNGM2UUFBSUFCSlJFRlVlSnpzM1hsOFRGZi9CL0RQdVRPVFRSS0VFTEdGV29QSVRJcnFTclhhcXJaS0Y0cXFhaTE5UExXVVdscUtvcVcwUE9wWFdqUlZhbXUxVmJUbGFXMnR0TWdpc1F1aUl0WllJNHVadWVmM2g3bjNtYXdtSXB2NXZGK3Z2cHJjYmM3RWZPZWM3N25ubmdNU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OcXYvdzlOY0tXeXZhcjRCd0FBQUFCSlJVNUVya0pnZ2c9PSIsCgkiVGhlbWUiIDogIiIsCgkiVHlwZSIgOiAiZmxvdyIsCgkiVXNlcklkIiA6ICIyMjM2MzY4NzciLAoJIlZlcnNpb24iIDogIjE3Igp9Cg=="/>
    </extobj>
    <extobj name="ECB019B1-382A-4266-B25C-5B523AA43C14-3">
      <extobjdata type="ECB019B1-382A-4266-B25C-5B523AA43C14" data="ewoJIkZpbGVJZCIgOiAiMzEzMTEwMDUxNDY5IiwKCSJHcm91cElkIiA6ICIxMTA2ODY3MTMiLAoJIkltYWdlIiA6ICJpVkJPUncwS0dnb0FBQUFOU1VoRVVnQUFBODhBQUFDQkNBWUFBQUQrTVloQ0FBQUFBWE5TUjBJQXJzNGM2UUFBSUFCSlJFRlVlSnp0M1hsWWpmbi9QL0RuYWQ4VlVtWXlRczNZc3N1RUdjc01ZeGloR2Z0Z3loS0RTTTNQbENWN2pPeDhralZaQjJNbnNnMUZFY295UlZteVJJalNvdTEwenUrUHZ2YzlIZWVjQ2pWSno4ZDF1YTQ2NXo3M3VVOWU5N252MTN0NXZRR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hJdmY4UDNUZERBeEVZTTVNQUFBQUFTVVZPUks1Q1lJST0iLAoJIlRoZW1lIiA6ICIiLAoJIlR5cGUiIDogImZsb3ciLAoJIlVzZXJJZCIgOiAiIiwKCSJWZXJzaW9uIiA6ICIxMiIKfQo="/>
    </extobj>
    <extobj name="ECB019B1-382A-4266-B25C-5B523AA43C14-4">
      <extobjdata type="ECB019B1-382A-4266-B25C-5B523AA43C14" data="ewoJIkZpbGVJZCIgOiAiMzEzMDEzMzk3MDAyIiwKCSJHcm91cElkIiA6ICIxMTA2ODY3MTMiLAoJIkltYWdlIiA6ICJpVkJPUncwS0dnb0FBQUFOU1VoRVVnQUFBNUFBQUFHdUNBWUFBQURtbytuUUFBQUFBWE5TUjBJQXJzNGM2UUFBSUFCSlJFRlVlSnpzM1hsY1ZPWCtCL0RQYzJiWVJCUnpWeXBVVENWQkJ0UXlyU3pMek1wY3V1WldtYWE0UmFhV2FhWnRXbDQxOTlUeVZwYVoxaTNMWDduZ1ZtcHFDUXlpb1NJcUlpNG9ydXd3bk9mM0IzUE9uWUZoRVpVQi9MeGZMMS9NbkcyZThYVytjODczUEJ0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k5CL0FiaDFvN2YyT21PVEFBQUFBRWxGVGtTdVFtQ0MiLAoJIlRoZW1lIiA6ICIiLAoJIlR5cGUiIDogImZsb3ciLAoJIlZlcnNpb24iIDogIjM0Igp9Cg=="/>
    </extobj>
  </extobjs>
</s:customData>
</file>

<file path=customXml/item2.xml><?xml version="1.0" encoding="utf-8"?>
<contractReview xmlns="http://schemas.wps.cn/vas-ai-hub/contract-review">
  <reviewItems>
    <reviewItem>
      <errorID>ffe2a1c8-72cc-4527-a8f4-a30e13ab6257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223DCF61</paraID>
      <start>0</start>
      <end>2</end>
      <status>ignored</status>
      <modifiedWord/>
      <trackRevisions>false</trackRevisions>
    </reviewItem>
    <reviewItem>
      <errorID>f640153a-3295-40fa-80bd-6db9a1f9a731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53D9E668</paraID>
      <start>0</start>
      <end>2</end>
      <status>ignored</status>
      <modifiedWord/>
      <trackRevisions>false</trackRevisions>
    </reviewItem>
    <reviewItem>
      <errorID>00e512bf-7e04-4eac-bc8c-b67f6c6c841e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2E5E0250</paraID>
      <start>0</start>
      <end>2</end>
      <status>ignored</status>
      <modifiedWord/>
      <trackRevisions>false</trackRevisions>
    </reviewItem>
    <reviewItem>
      <errorID>baa503e5-20a4-450d-9c1a-6028886a6d0c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78834CF3</paraID>
      <start>0</start>
      <end>2</end>
      <status>ignored</status>
      <modifiedWord/>
      <trackRevisions>false</trackRevisions>
    </reviewItem>
    <reviewItem>
      <errorID>a9af10fd-ea56-4c23-9d28-7e1ba1e53e67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1274F5DF</paraID>
      <start>49</start>
      <end>51</end>
      <status>modified</status>
      <modifiedWord>》《</modifiedWord>
      <trackRevisions>false</trackRevisions>
    </reviewItem>
    <reviewItem>
      <errorID>d8eff00b-a38e-4596-8ddd-f78aee392c9d</errorID>
      <errorWord>&lt;</errorWord>
      <group>L1_Format</group>
      <groupName>格式问题</groupName>
      <ability>L2_HalfPunc</ability>
      <abilityName>全半角检查</abilityName>
      <candidateList>
        <item>〈</item>
      </candidateList>
      <explain>文本全半角错误。</explain>
      <paraID>566A32AD</paraID>
      <start>38</start>
      <end>39</end>
      <status>modified</status>
      <modifiedWord>〈</modifiedWord>
      <trackRevisions>false</trackRevisions>
    </reviewItem>
    <reviewItem>
      <errorID>81d518ff-7cdd-4654-84a1-1748e678e5ab</errorID>
      <errorWord>&gt;》</errorWord>
      <group>L1_Punc</group>
      <groupName>标点问题</groupName>
      <ability>L2_Punc</ability>
      <abilityName>标点符号检查</abilityName>
      <candidateList>
        <item>》</item>
      </candidateList>
      <explain/>
      <paraID>566A32AD</paraID>
      <start>55</start>
      <end>56</end>
      <status>modified</status>
      <modifiedWord>》</modifiedWord>
      <trackRevisions>false</trackRevisions>
    </reviewItem>
    <reviewItem>
      <errorID>55dded2f-3c75-4d22-a012-0cf27b98432d</errorID>
      <errorWord>(</errorWord>
      <group>L1_Format</group>
      <groupName>格式问题</groupName>
      <ability>L2_HalfPunc</ability>
      <abilityName>全半角检查</abilityName>
      <candidateList>
        <item>（</item>
      </candidateList>
      <explain>文本全半角错误。</explain>
      <paraID>575312C1</paraID>
      <start>57</start>
      <end>58</end>
      <status>modified</status>
      <modifiedWord>（</modifiedWord>
      <trackRevisions>false</trackRevisions>
    </reviewItem>
    <reviewItem>
      <errorID>db999e68-cee4-4a3a-aa1f-50d44744dfde</errorID>
      <errorWord>)</errorWord>
      <group>L1_Format</group>
      <groupName>格式问题</groupName>
      <ability>L2_HalfPunc</ability>
      <abilityName>全半角检查</abilityName>
      <candidateList>
        <item>）</item>
      </candidateList>
      <explain>文本全半角错误。</explain>
      <paraID>575312C1</paraID>
      <start>70</start>
      <end>71</end>
      <status>modified</status>
      <modifiedWord>）</modifiedWord>
      <trackRevisions>false</trackRevisions>
    </reviewItem>
    <reviewItem>
      <errorID>ce19d8f1-fb15-46d0-8b93-beb009fddfb6</errorID>
      <errorWord>&lt;</errorWord>
      <group>L1_Format</group>
      <groupName>格式问题</groupName>
      <ability>L2_HalfPunc</ability>
      <abilityName>全半角检查</abilityName>
      <candidateList>
        <item>〈</item>
      </candidateList>
      <explain>文本全半角错误。</explain>
      <paraID>38899321</paraID>
      <start>21</start>
      <end>22</end>
      <status>modified</status>
      <modifiedWord>〈</modifiedWord>
      <trackRevisions>false</trackRevisions>
    </reviewItem>
    <reviewItem>
      <errorID>429a7101-a025-48b3-a570-b394bb282f4d</errorID>
      <errorWord>&gt;的通知》</errorWord>
      <group>L1_Punc</group>
      <groupName>标点问题</groupName>
      <ability>L2_Punc</ability>
      <abilityName>标点符号检查</abilityName>
      <candidateList>
        <item>〉的通知》</item>
      </candidateList>
      <explain/>
      <paraID>38899321</paraID>
      <start>53</start>
      <end>58</end>
      <status>modified</status>
      <modifiedWord>〉的通知》</modifiedWord>
      <trackRevisions>false</trackRevisions>
    </reviewItem>
    <reviewItem>
      <errorID>077b542d-8e8b-41fd-ac21-08aa5d30a051</errorID>
      <errorWord>注入</errorWord>
      <group>L1_Word</group>
      <groupName>字词问题</groupName>
      <ability>L2_Typo</ability>
      <abilityName>字词错误</abilityName>
      <candidateList>
        <item>准入</item>
      </candidateList>
      <explain/>
      <paraID>33354D68</paraID>
      <start>22</start>
      <end>24</end>
      <status>modified</status>
      <modifiedWord>准入</modifiedWord>
      <trackRevisions>false</trackRevisions>
    </reviewItem>
    <reviewItem>
      <errorID>3cea04f6-4966-47ba-8d9a-f3d82534ebeb</errorID>
      <errorWord>照像</errorWord>
      <group>L1_Word</group>
      <groupName>字词问题</groupName>
      <ability>L2_Variant</ability>
      <abilityName>异形词</abilityName>
      <candidateList>
        <item>照相</item>
      </candidateList>
      <explain>词汇[照像]的规范词形写作[照相]。</explain>
      <paraID>6FD3C2E4</paraID>
      <start>34</start>
      <end>36</end>
      <status>modified</status>
      <modifiedWord>照相</modifiedWord>
      <trackRevisions>false</trackRevisions>
    </reviewItem>
    <reviewItem>
      <errorID>8743985c-b535-4fd7-b504-dda21f67e25a</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6FD3C2E4</paraID>
      <start>90</start>
      <end>91</end>
      <status>modified</status>
      <modifiedWord>等</modifiedWord>
      <trackRevisions>false</trackRevisions>
    </reviewItem>
    <reviewItem>
      <errorID>4ca731fe-122c-4e37-8e6e-6fec17b333d9</errorID>
      <errorWord>涉</errorWord>
      <group>L1_Word</group>
      <groupName>字词问题</groupName>
      <ability>L2_Typo</ability>
      <abilityName>字词错误</abilityName>
      <candidateList>
        <item>涉及</item>
      </candidateList>
      <explain>〈动〉牵涉到；关联到：案子～好几个人｜这个问题～面很广。</explain>
      <paraID>21C93E40</paraID>
      <start>108</start>
      <end>110</end>
      <status>modified</status>
      <modifiedWord>涉及</modifiedWord>
      <trackRevisions>false</trackRevisions>
    </reviewItem>
    <reviewItem>
      <errorID>f0357cc6-88ee-465f-b34f-510b31124e71</errorID>
      <errorWord>倍量</errorWord>
      <group>L1_Word</group>
      <groupName>字词问题</groupName>
      <ability>L2_Typo</ability>
      <abilityName>字词错误</abilityName>
      <candidateList>
        <item>等量</item>
      </candidateList>
      <explain/>
      <paraID>21C93E40</paraID>
      <start>167</start>
      <end>169</end>
      <status>ignored</status>
      <modifiedWord/>
      <trackRevisions>false</trackRevisions>
    </reviewItem>
    <reviewItem>
      <errorID>7f41721e-0491-4632-bc4b-bdd5be3a1def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65554AFC</paraID>
      <start>0</start>
      <end>2</end>
      <status>ignored</status>
      <modifiedWord/>
      <trackRevisions>false</trackRevisions>
    </reviewItem>
    <reviewItem>
      <errorID>bede24eb-523d-450b-b26d-544b9ab8688d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2CD6B68A</paraID>
      <start>0</start>
      <end>2</end>
      <status>ignored</status>
      <modifiedWord/>
      <trackRevisions>false</trackRevisions>
    </reviewItem>
    <reviewItem>
      <errorID>0200bb72-280a-4b3f-9c27-fb0d0324a84b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5057C419</paraID>
      <start>0</start>
      <end>2</end>
      <status>ignored</status>
      <modifiedWord/>
      <trackRevisions>false</trackRevisions>
    </reviewItem>
    <reviewItem>
      <errorID>00090386-13f0-4390-a595-0ea493648a7b</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31C05433</paraID>
      <start>75</start>
      <end>76</end>
      <status>modified</status>
      <modifiedWord>等</modifiedWord>
      <trackRevisions>false</trackRevisions>
    </reviewItem>
    <reviewItem>
      <errorID>0f9bbb60-c65e-433d-9479-5b9f80a32149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BE4F711</paraID>
      <start>0</start>
      <end>2</end>
      <status>ignored</status>
      <modifiedWord/>
      <trackRevisions>false</trackRevisions>
    </reviewItem>
    <reviewItem>
      <errorID>3a5e5ec3-2799-4e97-b711-20191102f800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6DA3AE93</paraID>
      <start>0</start>
      <end>2</end>
      <status>ignored</status>
      <modifiedWord/>
      <trackRevisions>false</trackRevisions>
    </reviewItem>
    <reviewItem>
      <errorID>18b5dd41-7084-4674-8c1b-9f3e85682c98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61E96616</paraID>
      <start>0</start>
      <end>2</end>
      <status>ignored</status>
      <modifiedWord/>
      <trackRevisions>false</trackRevisions>
    </reviewItem>
    <reviewItem>
      <errorID>dfbd960a-3aa1-4a1f-987e-bc56e62a3fb6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21CC3065</paraID>
      <start>0</start>
      <end>2</end>
      <status>ignored</status>
      <modifiedWord/>
      <trackRevisions>false</trackRevisions>
    </reviewItem>
    <reviewItem>
      <errorID>02cfcd66-b6e9-47e7-890a-d5950c2fb28a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32F987D8</paraID>
      <start>0</start>
      <end>2</end>
      <status>ignored</status>
      <modifiedWord/>
      <trackRevisions>false</trackRevisions>
    </reviewItem>
    <reviewItem>
      <errorID>da29c853-989d-4fb5-a591-b3876e620863</errorID>
      <errorWord>涉</errorWord>
      <group>L1_Word</group>
      <groupName>字词问题</groupName>
      <ability>L2_Typo</ability>
      <abilityName>字词错误</abilityName>
      <candidateList>
        <item>涉及</item>
      </candidateList>
      <explain>〈动〉牵涉到；关联到：案子～好几个人｜这个问题～面很广。</explain>
      <paraID>1B33F604</paraID>
      <start>0</start>
      <end>2</end>
      <status>modified</status>
      <modifiedWord>涉及</modifiedWord>
      <trackRevisions>false</trackRevisions>
    </reviewItem>
    <reviewItem>
      <errorID>36d2e60a-9243-4865-93f5-19afec9d6162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2FDD4189</paraID>
      <start>0</start>
      <end>2</end>
      <status>ignored</status>
      <modifiedWord/>
      <trackRevisions>false</trackRevisions>
    </reviewItem>
    <reviewItem>
      <errorID>9ffd76b9-6af7-4840-b569-c05d43cdbac5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42A0C9C5</paraID>
      <start>0</start>
      <end>2</end>
      <status>ignored</status>
      <modifiedWord/>
      <trackRevisions>false</trackRevisions>
    </reviewItem>
    <reviewItem>
      <errorID>d83a1e9f-d1a4-48ce-8565-852e1cbe5b84</errorID>
      <errorWord>..</errorWord>
      <group>L1_Punc</group>
      <groupName>标点问题</groupName>
      <ability>L2_Punc</ability>
      <abilityName>标点符号检查</abilityName>
      <candidateList>
        <item>.</item>
      </candidateList>
      <explain/>
      <paraID>77B50670</paraID>
      <start>1</start>
      <end>2</end>
      <status>modified</status>
      <modifiedWord>.</modifiedWord>
      <trackRevisions>false</trackRevisions>
    </reviewItem>
    <reviewItem>
      <errorID>c481dcb6-3495-4805-ad77-a723a038ac6a</errorID>
      <errorWord>建城区</errorWord>
      <group>L1_Word</group>
      <groupName>字词问题</groupName>
      <ability>L2_Typo</ability>
      <abilityName>字词错误</abilityName>
      <candidateList>
        <item>建成区</item>
      </candidateList>
      <explain/>
      <paraID>33DFFD36</paraID>
      <start>9</start>
      <end>12</end>
      <status>ignored</status>
      <modifiedWord/>
      <trackRevisions>false</trackRevisions>
    </reviewItem>
    <reviewItem>
      <errorID>73245963-8cb9-46c0-bd0d-b490d49c3175</errorID>
      <errorWord>所在地</errorWord>
      <group>L1_Word</group>
      <groupName>字词问题</groupName>
      <ability>L2_Typo</ability>
      <abilityName>字词错误</abilityName>
      <candidateList>
        <item>所在</item>
      </candidateList>
      <explain/>
      <paraID>397E70A6</paraID>
      <start>25</start>
      <end>27</end>
      <status>modified</status>
      <modifiedWord>所在</modifiedWord>
      <trackRevisions>false</trackRevisions>
    </reviewItem>
    <reviewItem>
      <errorID>138bd5e6-d331-4b7d-9e09-226156d98547</errorID>
      <errorWord>项目于</errorWord>
      <group>L1_Word</group>
      <groupName>字词问题</groupName>
      <ability>L2_Typo</ability>
      <abilityName>字词错误</abilityName>
      <candidateList>
        <item>项目</item>
      </candidateList>
      <explain>〈名〉事物分成的门类：服务～｜体育～｜建设～。</explain>
      <paraID>55B8D9BD</paraID>
      <start>0</start>
      <end>2</end>
      <status>modified</status>
      <modifiedWord>项目</modifiedWord>
      <trackRevisions>false</trackRevisions>
    </reviewItem>
    <reviewItem>
      <errorID>8a402bfc-a463-43a3-bd70-e09fc94a1cb7</errorID>
      <errorWord>1）、</errorWord>
      <group>L1_Punc</group>
      <groupName>标点问题</groupName>
      <ability>L2_Punc</ability>
      <abilityName>标点符号检查</abilityName>
      <candidateList>
        <item>1）</item>
      </candidateList>
      <explain>根据国标GB/T 15834-2011《标点符号用法》中的4.5.3.3节，带括号的汉字数字或阿拉伯数字表次序时，后面通常不加顿号。如“（一）指导思想”“（二）行动指南”。</explain>
      <paraID>74A3F245</paraID>
      <start>19</start>
      <end>21</end>
      <status>modified</status>
      <modifiedWord>1）</modifiedWord>
      <trackRevisions>false</trackRevisions>
    </reviewItem>
    <reviewItem>
      <errorID>7d134e93-40ae-4bbc-9735-5bde7cc1f686</errorID>
      <errorWord>效</errorWord>
      <group>L1_Word</group>
      <groupName>字词问题</groupName>
      <ability>L2_Typo</ability>
      <abilityName>字词错误</abilityName>
      <candidateList>
        <item>效减</item>
      </candidateList>
      <explain/>
      <paraID>1F2FE752</paraID>
      <start>10</start>
      <end>12</end>
      <status>modified</status>
      <modifiedWord>效减</modifiedWord>
      <trackRevisions>false</trackRevisions>
    </reviewItem>
    <reviewItem>
      <errorID>e48bbbb5-808d-4986-b054-1c03f00aa683</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7CDC1540</paraID>
      <start>36</start>
      <end>38</end>
      <status>modified</status>
      <modifiedWord>标准</modifiedWord>
      <trackRevisions>false</trackRevisions>
    </reviewItem>
    <reviewItem>
      <errorID>f8144334-7cf6-41da-a80b-6c3ea44739b2</errorID>
      <errorWord>:</errorWord>
      <group>L1_Format</group>
      <groupName>格式问题</groupName>
      <ability>L2_HalfPunc</ability>
      <abilityName>全半角检查</abilityName>
      <candidateList>
        <item>：</item>
      </candidateList>
      <explain>文本全半角错误。</explain>
      <paraID>652D02FD</paraID>
      <start>47</start>
      <end>48</end>
      <status>modified</status>
      <modifiedWord>：</modifiedWord>
      <trackRevisions>false</trackRevisions>
    </reviewItem>
    <reviewItem>
      <errorID>20427567-1106-426b-8703-e880a081bde0</errorID>
      <errorWord>:</errorWord>
      <group>L1_Format</group>
      <groupName>格式问题</groupName>
      <ability>L2_HalfPunc</ability>
      <abilityName>全半角检查</abilityName>
      <candidateList>
        <item>：</item>
      </candidateList>
      <explain>文本全半角错误。</explain>
      <paraID>142E876F</paraID>
      <start>38</start>
      <end>39</end>
      <status>modified</status>
      <modifiedWord>：</modifiedWord>
      <trackRevisions>false</trackRevisions>
    </reviewItem>
    <reviewItem>
      <errorID>9580209a-61a9-47e0-8fb5-6e51d134edf3</errorID>
      <errorWord>,</errorWord>
      <group>L1_Format</group>
      <groupName>格式问题</groupName>
      <ability>L2_HalfPunc</ability>
      <abilityName>全半角检查</abilityName>
      <candidateList>
        <item>，</item>
      </candidateList>
      <explain>文本全半角错误。</explain>
      <paraID>1C4CC820</paraID>
      <start>33</start>
      <end>34</end>
      <status>modified</status>
      <modifiedWord>，</modifiedWord>
      <trackRevisions>false</trackRevisions>
    </reviewItem>
    <reviewItem>
      <errorID>675a4a00-c5bb-4337-959c-992c1cb3a317</errorID>
      <errorWord>;</errorWord>
      <group>L1_Format</group>
      <groupName>格式问题</groupName>
      <ability>L2_HalfPunc</ability>
      <abilityName>全半角检查</abilityName>
      <candidateList>
        <item>；</item>
      </candidateList>
      <explain>文本全半角错误。</explain>
      <paraID>1C4CC820</paraID>
      <start>50</start>
      <end>51</end>
      <status>modified</status>
      <modifiedWord>；</modifiedWord>
      <trackRevisions>false</trackRevisions>
    </reviewItem>
    <reviewItem>
      <errorID>7a4511e1-09e8-4f61-be70-4863a4c526e4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7F25FDF5</paraID>
      <start>150</start>
      <end>152</end>
      <status>modified</status>
      <modifiedWord>”“</modifiedWord>
      <trackRevisions>false</trackRevisions>
    </reviewItem>
    <reviewItem>
      <errorID>900fdf86-3cd9-4cfc-abf8-f0c982de8f70</errorID>
      <errorWord>-</errorWord>
      <group>L1_Format</group>
      <groupName>格式问题</groupName>
      <ability>L2_HalfPunc</ability>
      <abilityName>全半角检查</abilityName>
      <candidateList>
        <item>－</item>
      </candidateList>
      <explain>文本全半角错误。</explain>
      <paraID>7F25FDF5</paraID>
      <start>270</start>
      <end>271</end>
      <status>modified</status>
      <modifiedWord>－</modifiedWord>
      <trackRevisions>false</trackRevisions>
    </reviewItem>
    <reviewItem>
      <errorID>631c21a1-b3fd-452b-8e53-3ac0c3177250</errorID>
      <errorWord>-</errorWord>
      <group>L1_Format</group>
      <groupName>格式问题</groupName>
      <ability>L2_HalfPunc</ability>
      <abilityName>全半角检查</abilityName>
      <candidateList>
        <item>－</item>
      </candidateList>
      <explain>文本全半角错误。</explain>
      <paraID>7F25FDF5</paraID>
      <start>312</start>
      <end>313</end>
      <status>modified</status>
      <modifiedWord>－</modifiedWord>
      <trackRevisions>false</trackRevisions>
    </reviewItem>
    <reviewItem>
      <errorID>f3ab1346-edf0-405d-8020-08be02026288</errorID>
      <errorWord>以</errorWord>
      <group>L1_Word</group>
      <groupName>字词问题</groupName>
      <ability>L2_Typo</ability>
      <abilityName>字词错误</abilityName>
      <candidateList>
        <item>以上</item>
      </candidateList>
      <explain/>
      <paraID>3D8AF843</paraID>
      <start>11</start>
      <end>13</end>
      <status>modified</status>
      <modifiedWord>以上</modifiedWord>
      <trackRevisions>false</trackRevisions>
    </reviewItem>
    <reviewItem>
      <errorID>3663ae32-71e9-4861-8a09-242ac09a401c</errorID>
      <errorWord>万</errorWord>
      <group>L1_Word</group>
      <groupName>字词问题</groupName>
      <ability>L2_Typo</ability>
      <abilityName>字词错误</abilityName>
      <candidateList>
        <item>万元</item>
      </candidateList>
      <explain/>
      <paraID>1DFA23DA</paraID>
      <start>24</start>
      <end>26</end>
      <status>modified</status>
      <modifiedWord>万元</modifiedWord>
      <trackRevisions>false</trackRevisions>
    </reviewItem>
    <reviewItem>
      <errorID>3189552b-e5ea-454b-8b75-f6f394787e38</errorID>
      <errorWord>服务服务</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29969B57</paraID>
      <start>144</start>
      <end>146</end>
      <status>modified</status>
      <modifiedWord>服务</modifiedWord>
      <trackRevisions>false</trackRevisions>
    </reviewItem>
    <reviewItem>
      <errorID>a1233e63-a125-4911-9db8-7c44b8e3864f</errorID>
      <errorWord>间</errorWord>
      <group>L1_Word</group>
      <groupName>字词问题</groupName>
      <ability>L2_Typo</ability>
      <abilityName>字词错误</abilityName>
      <candidateList>
        <item>间和</item>
      </candidateList>
      <explain/>
      <paraID> 2C8DC24</paraID>
      <start>6</start>
      <end>7</end>
      <status>ignored</status>
      <modifiedWord/>
      <trackRevisions>false</trackRevisions>
    </reviewItem>
    <reviewItem>
      <errorID>58f0b418-f8c8-478c-9140-fa3567331cf0</errorID>
      <errorWord>减震</errorWord>
      <group>L1_Word</group>
      <groupName>字词问题</groupName>
      <ability>L2_Typo</ability>
      <abilityName>字词错误</abilityName>
      <candidateList>
        <item>减振</item>
      </candidateList>
      <explain>存在发音相同字词的误用。</explain>
      <paraID>451D5AC8</paraID>
      <start>26</start>
      <end>28</end>
      <status>modified</status>
      <modifiedWord>减振</modifiedWord>
      <trackRevisions>false</trackRevisions>
    </reviewItem>
    <reviewItem>
      <errorID>33ecbd58-8c1b-4bc3-9a92-e30098a0ba72</errorID>
      <errorWord>（</errorWord>
      <group>L1_Format</group>
      <groupName>格式问题</groupName>
      <ability>L2_HalfPunc</ability>
      <abilityName>全半角检查</abilityName>
      <candidateList>
        <item>(</item>
      </candidateList>
      <explain>文本全半角错误。</explain>
      <paraID>20E6DF1B</paraID>
      <start>0</start>
      <end>1</end>
      <status>modified</status>
      <modifiedWord>(</modifiedWord>
      <trackRevisions>false</trackRevisions>
    </reviewItem>
    <reviewItem>
      <errorID>bbafd4b1-85b0-4e90-bd95-d5d591ecbe83</errorID>
      <errorWord>）</errorWord>
      <group>L1_Format</group>
      <groupName>格式问题</groupName>
      <ability>L2_HalfPunc</ability>
      <abilityName>全半角检查</abilityName>
      <candidateList>
        <item>)</item>
      </candidateList>
      <explain>文本全半角错误。</explain>
      <paraID>20E6DF1B</paraID>
      <start>4</start>
      <end>5</end>
      <status>modified</status>
      <modifiedWord>)</modifiedWord>
      <trackRevisions>false</trackRevisions>
    </reviewItem>
    <reviewItem>
      <errorID>3f29f562-9509-4526-80a3-54cc11af76b7</errorID>
      <errorWord>合成型</errorWord>
      <group>L1_Word</group>
      <groupName>字词问题</groupName>
      <ability>L2_Typo</ability>
      <abilityName>字词错误</abilityName>
      <candidateList>
        <item>合成形</item>
      </candidateList>
      <explain/>
      <paraID> FC07DFE</paraID>
      <start>269</start>
      <end>272</end>
      <status>ignored</status>
      <modifiedWord/>
      <trackRevisions>false</trackRevisions>
    </reviewItem>
    <reviewItem>
      <errorID>11a510d7-51c6-4282-81ef-a8c60a8ea9c9</errorID>
      <errorWord>、</errorWord>
      <group>L1_Punc</group>
      <groupName>标点问题</groupName>
      <ability>L2_Punc</ability>
      <abilityName>标点符号检查</abilityName>
      <candidateList>
        <item>.</item>
      </candidateList>
      <explain/>
      <paraID>41DCAA5E</paraID>
      <start>1</start>
      <end>2</end>
      <status>modified</status>
      <modifiedWord>.</modifiedWord>
      <trackRevisions>false</trackRevisions>
    </reviewItem>
    <reviewItem>
      <errorID>39ca39d1-c477-4b1d-aef9-bd96c68ec8ef</errorID>
      <errorWord>蒸气压</errorWord>
      <group>L1_Word</group>
      <groupName>字词问题</groupName>
      <ability>L2_Typo</ability>
      <abilityName>字词错误</abilityName>
      <candidateList>
        <item>蒸汽压</item>
      </candidateList>
      <explain/>
      <paraID> 60F420F</paraID>
      <start>0</start>
      <end>0</end>
      <status>modified</status>
      <modifiedWord>蒸汽压</modifiedWord>
      <trackRevisions>false</trackRevisions>
    </reviewItem>
    <reviewItem>
      <errorID>edcbcb35-ff69-4896-a033-ab2c7190ae65</errorID>
      <errorWord>急毒</errorWord>
      <group>L1_Word</group>
      <groupName>字词问题</groupName>
      <ability>L2_Typo</ability>
      <abilityName>字词错误</abilityName>
      <candidateList>
        <item>剧毒</item>
      </candidateList>
      <explain/>
      <paraID>3823F011</paraID>
      <start>0</start>
      <end>2</end>
      <status>ignored</status>
      <modifiedWord/>
      <trackRevisions>false</trackRevisions>
    </reviewItem>
    <reviewItem>
      <errorID>5e95b386-7c3c-49bb-9bfb-b0636bd50ae1</errorID>
      <errorWord>并</errorWord>
      <group>L1_Word</group>
      <groupName>字词问题</groupName>
      <ability>L2_Typo</ability>
      <abilityName>字词错误</abilityName>
      <candidateList>
        <item>病</item>
      </candidateList>
      <explain>存在发音相同字词的误用。</explain>
      <paraID>2FDC8471</paraID>
      <start>6</start>
      <end>7</end>
      <status>ignored</status>
      <modifiedWord/>
      <trackRevisions>false</trackRevisions>
    </reviewItem>
    <reviewItem>
      <errorID>33dfb75f-a63a-471b-9c3e-89b055ff2616</errorID>
      <errorWord>进如</errorWord>
      <group>L1_Word</group>
      <groupName>字词问题</groupName>
      <ability>L2_Typo</ability>
      <abilityName>字词错误</abilityName>
      <candidateList>
        <item>进入</item>
      </candidateList>
      <explain>〈动〉支进到某个范围或某个时期里：～学校｜～新阶段◇～角色。</explain>
      <paraID>2FDC8471</paraID>
      <start>7</start>
      <end>9</end>
      <status>modified</status>
      <modifiedWord>进入</modifiedWord>
      <trackRevisions>false</trackRevisions>
    </reviewItem>
    <reviewItem>
      <errorID>f2a0d5cf-bb39-49ad-a440-63c342219557</errorID>
      <errorWord>丙烯酸脂</errorWord>
      <group>L1_Word</group>
      <groupName>字词问题</groupName>
      <ability>L2_Typo</ability>
      <abilityName>字词错误</abilityName>
      <candidateList>
        <item>丙烯酸酯</item>
      </candidateList>
      <explain/>
      <paraID>39887629</paraID>
      <start>5</start>
      <end>9</end>
      <status>ignored</status>
      <modifiedWord/>
      <trackRevisions>false</trackRevisions>
    </reviewItem>
    <reviewItem>
      <errorID>e394a77a-79cd-4a71-b307-1b7a5a870a1a</errorID>
      <errorWord>32~44%</errorWord>
      <group>L1_Knowledge</group>
      <groupName>知识性问题</groupName>
      <ability>L2_Knowledge</ability>
      <abilityName>其他知识</abilityName>
      <candidateList>
        <item>32%～44%</item>
      </candidateList>
      <explain>1. “32~44%”中的单位“%”仅出现在后一个数字上，容易引起歧义；根据《现代汉语标点符号数字用法规范手册》，数字表示范围两边需要使用统一的格式。2. 根据标点国标 4.13 中的规则，数字、时间或地域连接符应使用（视觉上更长的）“—”或“～”。</explain>
      <paraID>39887629</paraID>
      <start>9</start>
      <end>16</end>
      <status>modified</status>
      <modifiedWord>32%～44%</modifiedWord>
      <trackRevisions>false</trackRevisions>
    </reviewItem>
    <reviewItem>
      <errorID>fe731886-71b4-4460-99ed-4a1fc0637de7</errorID>
      <errorWord>丙烯酸脂</errorWord>
      <group>L1_Word</group>
      <groupName>字词问题</groupName>
      <ability>L2_Typo</ability>
      <abilityName>字词错误</abilityName>
      <candidateList>
        <item>丙烯酸酯</item>
      </candidateList>
      <explain/>
      <paraID> D241EA1</paraID>
      <start>4</start>
      <end>8</end>
      <status>ignored</status>
      <modifiedWord/>
      <trackRevisions>false</trackRevisions>
    </reviewItem>
    <reviewItem>
      <errorID>e321bdab-5f04-4658-960d-a1fa1c5d252e</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 69BBCA9</paraID>
      <start>0</start>
      <end>6</end>
      <status>modified</status>
      <modifiedWord>6%—10%</modifiedWord>
      <trackRevisions>false</trackRevisions>
    </reviewItem>
    <reviewItem>
      <errorID>f9dfe14c-6b37-4838-a8c4-d94bfe743ae0</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39CB69BC</paraID>
      <start>0</start>
      <end>6</end>
      <status>modified</status>
      <modifiedWord>6%—10%</modifiedWord>
      <trackRevisions>false</trackRevisions>
    </reviewItem>
    <reviewItem>
      <errorID>119786d1-f1e8-4e3a-8487-7f71a9e68e1c</errorID>
      <errorWord>5~7%</errorWord>
      <group>L1_Knowledge</group>
      <groupName>知识性问题</groupName>
      <ability>L2_Knowledge</ability>
      <abilityName>其他知识</abilityName>
      <candidateList>
        <item>5%～7%</item>
      </candidateList>
      <explain>1. “5~7%”中的单位“%”仅出现在后一个数字上，容易引起歧义；根据《现代汉语标点符号数字用法规范手册》，数字表示范围两边需要使用统一的格式。2. 根据标点国标 4.13 中的规则，数字、时间或地域连接符应使用（视觉上更长的）“—”或“～”。</explain>
      <paraID>1736CF99</paraID>
      <start>4</start>
      <end>9</end>
      <status>modified</status>
      <modifiedWord>5%～7%</modifiedWord>
      <trackRevisions>false</trackRevisions>
    </reviewItem>
    <reviewItem>
      <errorID>df4a347b-d53a-4a99-a120-e66c9825add8</errorID>
      <errorWord>17~22%</errorWord>
      <group>L1_Knowledge</group>
      <groupName>知识性问题</groupName>
      <ability>L2_Knowledge</ability>
      <abilityName>其他知识</abilityName>
      <candidateList>
        <item>17%～22%</item>
      </candidateList>
      <explain>1. “17~22%”中的单位“%”仅出现在后一个数字上，容易引起歧义；根据《现代汉语标点符号数字用法规范手册》，数字表示范围两边需要使用统一的格式。2. 根据标点国标 4.13 中的规则，数字、时间或地域连接符应使用（视觉上更长的）“—”或“～”。</explain>
      <paraID>77718355</paraID>
      <start>2</start>
      <end>9</end>
      <status>modified</status>
      <modifiedWord>17%～22%</modifiedWord>
      <trackRevisions>false</trackRevisions>
    </reviewItem>
    <reviewItem>
      <errorID>dd905870-6708-4314-a9b7-56bb3a1852e7</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6586B8E1</paraID>
      <start>3</start>
      <end>8</end>
      <status>modified</status>
      <modifiedWord>2%～4%</modifiedWord>
      <trackRevisions>false</trackRevisions>
    </reviewItem>
    <reviewItem>
      <errorID>e1cdf503-5f59-418a-83f8-bb4194a5c943</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6FE92ED1</paraID>
      <start>3</start>
      <end>8</end>
      <status>modified</status>
      <modifiedWord>0～30%</modifiedWord>
      <trackRevisions>false</trackRevisions>
    </reviewItem>
    <reviewItem>
      <errorID>a24bb734-f7d1-4a59-9478-a55e66ad23ff</errorID>
      <errorWord>0~6%</errorWord>
      <group>L1_Knowledge</group>
      <groupName>知识性问题</groupName>
      <ability>L2_Knowledge</ability>
      <abilityName>其他知识</abilityName>
      <candidateList>
        <item>0～6%</item>
      </candidateList>
      <explain>1. “0~6%”中的单位“%”仅出现在后一个数字上，容易引起歧义；根据《现代汉语标点符号数字用法规范手册》，数字表示范围两边需要使用统一的格式。2. 根据标点国标 4.13 中的规则，数字、时间或地域连接符应使用（视觉上更长的）“—”或“～”。</explain>
      <paraID>4981EFEF</paraID>
      <start>2</start>
      <end>6</end>
      <status>modified</status>
      <modifiedWord>0～6%</modifiedWord>
      <trackRevisions>false</trackRevisions>
    </reviewItem>
    <reviewItem>
      <errorID>3feefe73-a482-4d82-9fbd-12e3d2695fd2</errorID>
      <errorWord>饱和蒸气</errorWord>
      <group>L1_Word</group>
      <groupName>字词问题</groupName>
      <ability>L2_Typo</ability>
      <abilityName>字词错误</abilityName>
      <candidateList>
        <item>饱和蒸汽</item>
      </candidateList>
      <explain/>
      <paraID>2188FE2F</paraID>
      <start>0</start>
      <end>4</end>
      <status>modified</status>
      <modifiedWord>饱和蒸汽</modifiedWord>
      <trackRevisions>false</trackRevisions>
    </reviewItem>
    <reviewItem>
      <errorID>8ccf162d-0877-4ed6-a352-aaf6c6148f62</errorID>
      <errorWord>：</errorWord>
      <group>L1_Format</group>
      <groupName>格式问题</groupName>
      <ability>L2_HalfPunc</ability>
      <abilityName>全半角检查</abilityName>
      <candidateList>
        <item>:</item>
      </candidateList>
      <explain>文本全半角错误。</explain>
      <paraID>40D25806</paraID>
      <start>4</start>
      <end>5</end>
      <status>modified</status>
      <modifiedWord>:</modifiedWord>
      <trackRevisions>false</trackRevisions>
    </reviewItem>
    <reviewItem>
      <errorID>59d11120-5564-4645-a8ea-3ac43c11282b</errorID>
      <errorWord>40-60%</errorWord>
      <group>L1_Knowledge</group>
      <groupName>知识性问题</groupName>
      <ability>L2_Knowledge</ability>
      <abilityName>其他知识</abilityName>
      <candidateList>
        <item>40%—60%</item>
      </candidateList>
      <explain>1. “40-60%”中的单位“%”仅出现在后一个数字上，容易引起歧义；根据《现代汉语标点符号数字用法规范手册》，数字表示范围两边需要使用统一的格式。2.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DB68570</paraID>
      <start>4</start>
      <end>11</end>
      <status>modified</status>
      <modifiedWord>40%—60%</modifiedWord>
      <trackRevisions>false</trackRevisions>
    </reviewItem>
    <reviewItem>
      <errorID>fa3b093f-982a-45f5-a7ec-637f522db525</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454AE7E6</paraID>
      <start>4</start>
      <end>11</end>
      <status>modified</status>
      <modifiedWord>20%—30%</modifiedWord>
      <trackRevisions>false</trackRevisions>
    </reviewItem>
    <reviewItem>
      <errorID>b713736b-b0a6-4ab0-9fc4-2ba9f1200575</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 4089CAC</paraID>
      <start>5</start>
      <end>12</end>
      <status>modified</status>
      <modifiedWord>10%—20%</modifiedWord>
      <trackRevisions>false</trackRevisions>
    </reviewItem>
    <reviewItem>
      <errorID>a6bd9219-fda9-4aaa-852a-5310adab6286</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6FEA1AF1</paraID>
      <start>2</start>
      <end>8</end>
      <status>modified</status>
      <modifiedWord>5%—10%</modifiedWord>
      <trackRevisions>false</trackRevisions>
    </reviewItem>
    <reviewItem>
      <errorID>b13a43ee-742d-4937-97d8-ee2fc11b34f8</errorID>
      <errorWord>达</errorWord>
      <group>L1_Word</group>
      <groupName>字词问题</groupName>
      <ability>L2_Typo</ability>
      <abilityName>字词错误</abilityName>
      <candidateList>
        <item>达到</item>
      </candidateList>
      <explain>〈动〉到（多指抽象事物或程度）：达得到｜达不到｜目的没有～｜～国际水平。</explain>
      <paraID>34E527B5</paraID>
      <start>237</start>
      <end>239</end>
      <status>modified</status>
      <modifiedWord>达到</modifiedWord>
      <trackRevisions>false</trackRevisions>
    </reviewItem>
    <reviewItem>
      <errorID>f547aff2-d598-4c28-a6f6-2ad2a72081c9</errorID>
      <errorWord>（</errorWord>
      <group>L1_Punc</group>
      <groupName>标点问题</groupName>
      <ability>L2_Punc</ability>
      <abilityName>标点符号检查</abilityName>
      <candidateList/>
      <explain>同一形式括号套用。</explain>
      <paraID>34E527B5</paraID>
      <start>254</start>
      <end>255</end>
      <status>ignored</status>
      <modifiedWord/>
      <trackRevisions>false</trackRevisions>
    </reviewItem>
    <reviewItem>
      <errorID>8a72359e-c50e-47d3-96d4-f5f0b81e3510</errorID>
      <errorWord>）</errorWord>
      <group>L1_Punc</group>
      <groupName>标点问题</groupName>
      <ability>L2_Punc</ability>
      <abilityName>标点符号检查</abilityName>
      <candidateList/>
      <explain>同一形式括号套用。</explain>
      <paraID>34E527B5</paraID>
      <start>270</start>
      <end>271</end>
      <status>ignored</status>
      <modifiedWord/>
      <trackRevisions>false</trackRevisions>
    </reviewItem>
    <reviewItem>
      <errorID>51e21227-4351-4ffe-a07f-729d5536d771</errorID>
      <errorWord>防晒措施</errorWord>
      <group>L1_Knowledge</group>
      <groupName>知识性问题</groupName>
      <ability>L2_Term</ability>
      <abilityName>专业术语</abilityName>
      <candidateList>
        <item>防雷措施</item>
      </candidateList>
      <explain/>
      <paraID>39175730</paraID>
      <start>43</start>
      <end>47</end>
      <status>ignored</status>
      <modifiedWord/>
      <trackRevisions>false</trackRevisions>
    </reviewItem>
    <reviewItem>
      <errorID>57373dbd-d21d-4b30-80e9-322fc2e5a7d9</errorID>
      <errorWord>也将</errorWord>
      <group>L1_Word</group>
      <groupName>字词问题</groupName>
      <ability>L2_Typo</ability>
      <abilityName>字词错误</abilityName>
      <candidateList>
        <item>也</item>
      </candidateList>
      <explain>〈副〉❶表示同样：水库可以灌溉、发电，～可以养鱼。❷单用或叠用，强调两事并列或对待：他会英语，～会法语｜游客里面～有坐车的，～有步行的。❸叠用，表示无论这样或那样，结果都相同：你去我～去，你不去我～去｜他左想～不是，右想～不是。❹用在转折或让步的句子里（常跟上文的“虽然、即使”等呼应），隐含结果相同的意思：虽然雨下得很大，他～来了｜即使你不说，我～知道（你说了，我知道；你不说，我也同样知道）。❺表示委婉：你～得对人宽容点儿嘛｜这事儿～只好如此了。❻表示强调（有时跟上文的“连”字呼应）：七八岁的孩子～学会电脑了｜连爷爷～乐得合不拢嘴。</explain>
      <paraID>39175730</paraID>
      <start>217</start>
      <end>218</end>
      <status>modified</status>
      <modifiedWord>也</modifiedWord>
      <trackRevisions>false</trackRevisions>
    </reviewItem>
    <reviewItem>
      <errorID>afd48577-2966-4348-9420-66eb7ddd68ff</errorID>
      <errorWord>\</errorWord>
      <group>L1_Punc</group>
      <groupName>标点问题</groupName>
      <ability>L2_Punc</ability>
      <abilityName>标点符号检查</abilityName>
      <candidateList/>
      <explain/>
      <paraID>3713674B</paraID>
      <start>0</start>
      <end>1</end>
      <status>ignored</status>
      <modifiedWord/>
      <trackRevisions>false</trackRevisions>
    </reviewItem>
    <reviewItem>
      <errorID>e27dbf5d-a8ba-42b0-a4c2-d8fa09c822ee</errorID>
      <errorWord>\</errorWord>
      <group>L1_Punc</group>
      <groupName>标点问题</groupName>
      <ability>L2_Punc</ability>
      <abilityName>标点符号检查</abilityName>
      <candidateList/>
      <explain/>
      <paraID>7F4E591B</paraID>
      <start>0</start>
      <end>1</end>
      <status>ignored</status>
      <modifiedWord/>
      <trackRevisions>false</trackRevisions>
    </reviewItem>
    <reviewItem>
      <errorID>e3e51eda-0aa2-4f98-8c4d-54d97a63b486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5E95ED84</paraID>
      <start>89</start>
      <end>90</end>
      <status>modified</status>
      <modifiedWord>—</modifiedWord>
      <trackRevisions>false</trackRevisions>
    </reviewItem>
    <reviewItem>
      <errorID>a673607e-1b49-4b6b-9aba-a7e2e10ffb7d</errorID>
      <errorWord>监测</errorWord>
      <group>L1_Word</group>
      <groupName>字词问题</groupName>
      <ability>L2_Typo</ability>
      <abilityName>字词错误</abilityName>
      <candidateList>
        <item>检测</item>
      </candidateList>
      <explain/>
      <paraID>  9A892E</paraID>
      <start>70</start>
      <end>72</end>
      <status>ignored</status>
      <modifiedWord/>
      <trackRevisions>false</trackRevisions>
    </reviewItem>
    <reviewItem>
      <errorID>2eb7e6eb-f3ae-41fe-89f3-7c75b6d6b24b</errorID>
      <errorWord>-</errorWord>
      <group>L1_Format</group>
      <groupName>格式问题</groupName>
      <ability>L2_HalfPunc</ability>
      <abilityName>全半角检查</abilityName>
      <candidateList>
        <item>－</item>
      </candidateList>
      <explain>文本全半角错误。</explain>
      <paraID>7BA86748</paraID>
      <start>87</start>
      <end>88</end>
      <status>modified</status>
      <modifiedWord>－</modifiedWord>
      <trackRevisions>false</trackRevisions>
    </reviewItem>
    <reviewItem>
      <errorID>c293645a-105d-41cf-afa4-5b52ad9ef3a1</errorID>
      <errorWord>IV类</errorWord>
      <group>L1_Knowledge</group>
      <groupName>知识性问题</groupName>
      <ability>L2_Knowledge</ability>
      <abilityName>其他知识</abilityName>
      <candidateList>
        <item>Ⅳ类</item>
      </candidateList>
      <explain/>
      <paraID>7BA86748</paraID>
      <start>100</start>
      <end>102</end>
      <status>modified</status>
      <modifiedWord>Ⅳ类</modifiedWord>
      <trackRevisions>false</trackRevisions>
    </reviewItem>
    <reviewItem>
      <errorID>3c04f218-d309-41ef-910c-d89df5977680</errorID>
      <errorWord>-</errorWord>
      <group>L1_Format</group>
      <groupName>格式问题</groupName>
      <ability>L2_HalfPunc</ability>
      <abilityName>全半角检查</abilityName>
      <candidateList>
        <item>－</item>
      </candidateList>
      <explain>文本全半角错误。</explain>
      <paraID>29E006DB</paraID>
      <start>126</start>
      <end>127</end>
      <status>modified</status>
      <modifiedWord>－</modifiedWord>
      <trackRevisions>false</trackRevisions>
    </reviewItem>
    <reviewItem>
      <errorID>5e981537-2930-4db6-a034-36317c5ddcd3</errorID>
      <errorWord>（2020）33号</errorWord>
      <group>L1_Knowledge</group>
      <groupName>知识性问题</groupName>
      <ability>L2_Knowledge</ability>
      <abilityName>其他知识</abilityName>
      <candidateList>
        <item>〔2020〕33号</item>
      </candidateList>
      <explain>发文字号格式错误。</explain>
      <paraID>52CEF53D</paraID>
      <start>37</start>
      <end>46</end>
      <status>modified</status>
      <modifiedWord>〔2020〕33号</modifiedWord>
      <trackRevisions>false</trackRevisions>
    </reviewItem>
    <reviewItem>
      <errorID>5e9d50c9-e371-4a59-a748-63912a0f08b0</errorID>
      <errorWord>（</errorWord>
      <group>L1_Format</group>
      <groupName>格式问题</groupName>
      <ability>L2_HalfPunc</ability>
      <abilityName>全半角检查</abilityName>
      <candidateList>
        <item>(</item>
      </candidateList>
      <explain>文本全半角错误。</explain>
      <paraID>3240AA45</paraID>
      <start>4</start>
      <end>5</end>
      <status>modified</status>
      <modifiedWord>(</modifiedWord>
      <trackRevisions>false</trackRevisions>
    </reviewItem>
    <reviewItem>
      <errorID>3c84a5e7-d37e-460e-b73c-7c940915b959</errorID>
      <errorWord>）</errorWord>
      <group>L1_Format</group>
      <groupName>格式问题</groupName>
      <ability>L2_HalfPunc</ability>
      <abilityName>全半角检查</abilityName>
      <candidateList>
        <item>)</item>
      </candidateList>
      <explain>文本全半角错误。</explain>
      <paraID>3240AA45</paraID>
      <start>6</start>
      <end>7</end>
      <status>modified</status>
      <modifiedWord>)</modifiedWord>
      <trackRevisions>false</trackRevisions>
    </reviewItem>
    <reviewItem>
      <errorID>9c9d61a0-d95d-4e0c-a3f5-3913ecc44b61</errorID>
      <errorWord>（</errorWord>
      <group>L1_Format</group>
      <groupName>格式问题</groupName>
      <ability>L2_HalfPunc</ability>
      <abilityName>全半角检查</abilityName>
      <candidateList>
        <item>(</item>
      </candidateList>
      <explain>文本全半角错误。</explain>
      <paraID> 37DC65F</paraID>
      <start>4</start>
      <end>5</end>
      <status>modified</status>
      <modifiedWord>(</modifiedWord>
      <trackRevisions>false</trackRevisions>
    </reviewItem>
    <reviewItem>
      <errorID>863bd498-8544-444b-8d80-6b8138f50e0e</errorID>
      <errorWord>）</errorWord>
      <group>L1_Format</group>
      <groupName>格式问题</groupName>
      <ability>L2_HalfPunc</ability>
      <abilityName>全半角检查</abilityName>
      <candidateList>
        <item>)</item>
      </candidateList>
      <explain>文本全半角错误。</explain>
      <paraID> 37DC65F</paraID>
      <start>6</start>
      <end>7</end>
      <status>modified</status>
      <modifiedWord>)</modifiedWord>
      <trackRevisions>false</trackRevisions>
    </reviewItem>
    <reviewItem>
      <errorID>a10dbc15-9024-442d-886e-408f44e32e7e</errorID>
      <errorWord>倍量</errorWord>
      <group>L1_Word</group>
      <groupName>字词问题</groupName>
      <ability>L2_Typo</ability>
      <abilityName>字词错误</abilityName>
      <candidateList>
        <item>倍</item>
      </candidateList>
      <explain/>
      <paraID>32260652</paraID>
      <start>267</start>
      <end>269</end>
      <status>ignored</status>
      <modifiedWord/>
      <trackRevisions>false</trackRevisions>
    </reviewItem>
    <reviewItem>
      <errorID>77944974-9d9f-4544-884e-ca5e04887504</errorID>
      <errorWord>（</errorWord>
      <group>L1_Format</group>
      <groupName>格式问题</groupName>
      <ability>L2_HalfPunc</ability>
      <abilityName>全半角检查</abilityName>
      <candidateList>
        <item>(</item>
      </candidateList>
      <explain>文本全半角错误。</explain>
      <paraID>275727C1</paraID>
      <start>0</start>
      <end>1</end>
      <status>modified</status>
      <modifiedWord>(</modifiedWord>
      <trackRevisions>false</trackRevisions>
    </reviewItem>
    <reviewItem>
      <errorID>46252ac6-0740-4d7b-828a-12db71e55c27</errorID>
      <errorWord>）</errorWord>
      <group>L1_Format</group>
      <groupName>格式问题</groupName>
      <ability>L2_HalfPunc</ability>
      <abilityName>全半角检查</abilityName>
      <candidateList>
        <item>)</item>
      </candidateList>
      <explain>文本全半角错误。</explain>
      <paraID>275727C1</paraID>
      <start>4</start>
      <end>5</end>
      <status>modified</status>
      <modifiedWord>)</modifiedWord>
      <trackRevisions>false</trackRevisions>
    </reviewItem>
    <reviewItem>
      <errorID>5e7c68ea-cce8-4bb9-9552-ff507beabbf7</errorID>
      <errorWord>达</errorWord>
      <group>L1_Word</group>
      <groupName>字词问题</groupName>
      <ability>L2_Typo</ability>
      <abilityName>字词错误</abilityName>
      <candidateList>
        <item>达到</item>
      </candidateList>
      <explain>〈动〉到（多指抽象事物或程度）：达得到｜达不到｜目的没有～｜～国际水平。</explain>
      <paraID>22666FB3</paraID>
      <start>77</start>
      <end>79</end>
      <status>modified</status>
      <modifiedWord>达到</modifiedWord>
      <trackRevisions>false</trackRevisions>
    </reviewItem>
    <reviewItem>
      <errorID>2a6de5a9-8746-4c18-b6f3-dc9ebc27f240</errorID>
      <errorWord>达</errorWord>
      <group>L1_Word</group>
      <groupName>字词问题</groupName>
      <ability>L2_Typo</ability>
      <abilityName>字词错误</abilityName>
      <candidateList>
        <item>达到</item>
      </candidateList>
      <explain>〈动〉到（多指抽象事物或程度）：达得到｜达不到｜目的没有～｜～国际水平。</explain>
      <paraID>22666FB3</paraID>
      <start>143</start>
      <end>145</end>
      <status>modified</status>
      <modifiedWord>达到</modifiedWord>
      <trackRevisions>false</trackRevisions>
    </reviewItem>
    <reviewItem>
      <errorID>05e60b2d-45a8-410b-9f48-7d0259717588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36856BE7</paraID>
      <start>68</start>
      <end>70</end>
      <status>modified</status>
      <modifiedWord>》《</modifiedWord>
      <trackRevisions>false</trackRevisions>
    </reviewItem>
    <reviewItem>
      <errorID>51302f66-0131-450d-83d5-83e0055e209b</errorID>
      <errorWord>：</errorWord>
      <group>L1_Format</group>
      <groupName>格式问题</groupName>
      <ability>L2_HalfPunc</ability>
      <abilityName>全半角检查</abilityName>
      <candidateList>
        <item>:</item>
      </candidateList>
      <explain>文本全半角错误。</explain>
      <paraID>36856BE7</paraID>
      <start>134</start>
      <end>135</end>
      <status>modified</status>
      <modifiedWord>:</modifiedWord>
      <trackRevisions>false</trackRevisions>
    </reviewItem>
    <reviewItem>
      <errorID>84bb247c-a2a8-4c63-80bb-a63c6d4d0577</errorID>
      <errorWord>达</errorWord>
      <group>L1_Word</group>
      <groupName>字词问题</groupName>
      <ability>L2_Typo</ability>
      <abilityName>字词错误</abilityName>
      <candidateList>
        <item>达到</item>
      </candidateList>
      <explain>〈动〉到（多指抽象事物或程度）：达得到｜达不到｜目的没有～｜～国际水平。</explain>
      <paraID>36856BE7</paraID>
      <start>282</start>
      <end>284</end>
      <status>modified</status>
      <modifiedWord>达到</modifiedWord>
      <trackRevisions>false</trackRevisions>
    </reviewItem>
    <reviewItem>
      <errorID>2c11da06-8ad8-43fa-a54a-30696532e695</errorID>
      <errorWord>（</errorWord>
      <group>L1_Punc</group>
      <groupName>标点问题</groupName>
      <ability>L2_Punc</ability>
      <abilityName>标点符号检查</abilityName>
      <candidateList/>
      <explain>同一形式括号套用。</explain>
      <paraID>36856BE7</paraID>
      <start>299</start>
      <end>300</end>
      <status>ignored</status>
      <modifiedWord/>
      <trackRevisions>false</trackRevisions>
    </reviewItem>
    <reviewItem>
      <errorID>955e3e8d-fb4c-45c8-957b-8c8a38460294</errorID>
      <errorWord>）</errorWord>
      <group>L1_Punc</group>
      <groupName>标点问题</groupName>
      <ability>L2_Punc</ability>
      <abilityName>标点符号检查</abilityName>
      <candidateList/>
      <explain>同一形式括号套用。</explain>
      <paraID>36856BE7</paraID>
      <start>315</start>
      <end>316</end>
      <status>ignored</status>
      <modifiedWord/>
      <trackRevisions>false</trackRevisions>
    </reviewItem>
    <reviewItem>
      <errorID>13ec26da-7209-4fa9-9e1b-b51d788a7b90</errorID>
      <errorWord>（</errorWord>
      <group>L1_Format</group>
      <groupName>格式问题</groupName>
      <ability>L2_HalfPunc</ability>
      <abilityName>全半角检查</abilityName>
      <candidateList>
        <item>(</item>
      </candidateList>
      <explain>文本全半角错误。</explain>
      <paraID>2123C472</paraID>
      <start>0</start>
      <end>1</end>
      <status>modified</status>
      <modifiedWord>(</modifiedWord>
      <trackRevisions>false</trackRevisions>
    </reviewItem>
    <reviewItem>
      <errorID>24cbaa38-6670-40a7-93c4-7043131980ec</errorID>
      <errorWord>）</errorWord>
      <group>L1_Format</group>
      <groupName>格式问题</groupName>
      <ability>L2_HalfPunc</ability>
      <abilityName>全半角检查</abilityName>
      <candidateList>
        <item>)</item>
      </candidateList>
      <explain>文本全半角错误。</explain>
      <paraID>2123C472</paraID>
      <start>4</start>
      <end>5</end>
      <status>modified</status>
      <modifiedWord>)</modifiedWord>
      <trackRevisions>false</trackRevisions>
    </reviewItem>
    <reviewItem>
      <errorID>910dae20-13d9-438b-a5df-9eb57ec99a9c</errorID>
      <errorWord>污水厂</errorWord>
      <group>L1_Word</group>
      <groupName>字词问题</groupName>
      <ability>L2_Typo</ability>
      <abilityName>字词错误</abilityName>
      <candidateList>
        <item>污水处理厂</item>
      </candidateList>
      <explain/>
      <paraID>4B574B74</paraID>
      <start>8</start>
      <end>11</end>
      <status>ignored</status>
      <modifiedWord/>
      <trackRevisions>false</trackRevisions>
    </reviewItem>
    <reviewItem>
      <errorID>350a08b6-7020-424f-8138-7bd0ba97b7f3</errorID>
      <errorWord>生活废水</errorWord>
      <group>L1_Knowledge</group>
      <groupName>知识性问题</groupName>
      <ability>L2_Term</ability>
      <abilityName>专业术语</abilityName>
      <candidateList>
        <item>生活污水</item>
      </candidateList>
      <explain/>
      <paraID>435CD11F</paraID>
      <start>10</start>
      <end>14</end>
      <status>modified</status>
      <modifiedWord>生活污水</modifiedWord>
      <trackRevisions>false</trackRevisions>
    </reviewItem>
    <reviewItem>
      <errorID>f27a1cc3-80e9-4ba4-8bf2-1513611f0927</errorID>
      <errorWord>接受</errorWord>
      <group>L1_Word</group>
      <groupName>字词问题</groupName>
      <ability>L2_Typo</ability>
      <abilityName>字词错误</abilityName>
      <candidateList>
        <item>接收</item>
      </candidateList>
      <explain>存在发音相同字词的误用。</explain>
      <paraID>7165F1A0</paraID>
      <start>30</start>
      <end>32</end>
      <status>modified</status>
      <modifiedWord>接收</modifiedWord>
      <trackRevisions>false</trackRevisions>
    </reviewItem>
    <reviewItem>
      <errorID>63c862b9-1b74-4537-a79e-30b5e1295f69</errorID>
      <errorWord>：</errorWord>
      <group>L1_Format</group>
      <groupName>格式问题</groupName>
      <ability>L2_HalfPunc</ability>
      <abilityName>全半角检查</abilityName>
      <candidateList>
        <item>:</item>
      </candidateList>
      <explain>文本全半角错误。</explain>
      <paraID>624BBBA4</paraID>
      <start>39</start>
      <end>40</end>
      <status>modified</status>
      <modifiedWord>:</modifiedWord>
      <trackRevisions>false</trackRevisions>
    </reviewItem>
    <reviewItem>
      <errorID>a889bf4d-b8d0-4a47-bd31-081821515ba5</errorID>
      <errorWord>：</errorWord>
      <group>L1_Format</group>
      <groupName>格式问题</groupName>
      <ability>L2_HalfPunc</ability>
      <abilityName>全半角检查</abilityName>
      <candidateList>
        <item>:</item>
      </candidateList>
      <explain>文本全半角错误。</explain>
      <paraID>624BBBA4</paraID>
      <start>138</start>
      <end>139</end>
      <status>modified</status>
      <modifiedWord>:</modifiedWord>
      <trackRevisions>false</trackRevisions>
    </reviewItem>
    <reviewItem>
      <errorID>10ae73d0-8f58-4909-b2a1-6fb65dbdc4f3</errorID>
      <errorWord>（2020）33号</errorWord>
      <group>L1_Knowledge</group>
      <groupName>知识性问题</groupName>
      <ability>L2_Knowledge</ability>
      <abilityName>其他知识</abilityName>
      <candidateList>
        <item>〔2020〕33号</item>
      </candidateList>
      <explain>发文字号格式错误。</explain>
      <paraID>7EDFF6E6</paraID>
      <start>86</start>
      <end>95</end>
      <status>modified</status>
      <modifiedWord>〔2020〕33号</modifiedWord>
      <trackRevisions>false</trackRevisions>
    </reviewItem>
    <reviewItem>
      <errorID>9826d35e-7747-41ec-9f25-2060a10abbb0</errorID>
      <errorWord>污水厂</errorWord>
      <group>L1_Word</group>
      <groupName>字词问题</groupName>
      <ability>L2_Typo</ability>
      <abilityName>字词错误</abilityName>
      <candidateList>
        <item>污水处理厂</item>
      </candidateList>
      <explain/>
      <paraID>6E5268F9</paraID>
      <start>34</start>
      <end>39</end>
      <status>modified</status>
      <modifiedWord>污水处理厂</modifiedWord>
      <trackRevisions>false</trackRevisions>
    </reviewItem>
    <reviewItem>
      <errorID>f7fc7f2c-2bb6-465e-b35e-8ed72f40ba16</errorID>
      <errorWord>达</errorWord>
      <group>L1_Word</group>
      <groupName>字词问题</groupName>
      <ability>L2_Typo</ability>
      <abilityName>字词错误</abilityName>
      <candidateList>
        <item>达到</item>
      </candidateList>
      <explain>〈动〉到（多指抽象事物或程度）：达得到｜达不到｜目的没有～｜～国际水平。</explain>
      <paraID>6E5268F9</paraID>
      <start>232</start>
      <end>234</end>
      <status>modified</status>
      <modifiedWord>达到</modifiedWord>
      <trackRevisions>false</trackRevisions>
    </reviewItem>
    <reviewItem>
      <errorID>c126745c-7ec1-4721-aa0e-7ce4f2679e74</errorID>
      <errorWord>污水官网</errorWord>
      <group>L1_Knowledge</group>
      <groupName>知识性问题</groupName>
      <ability>L2_Term</ability>
      <abilityName>专业术语</abilityName>
      <candidateList>
        <item>污水管网</item>
      </candidateList>
      <explain/>
      <paraID>2153CC3D</paraID>
      <start>212</start>
      <end>216</end>
      <status>modified</status>
      <modifiedWord>污水管网</modifiedWord>
      <trackRevisions>false</trackRevisions>
    </reviewItem>
    <reviewItem>
      <errorID>e4743553-f3bf-432e-8b4f-f9053bf5e169</errorID>
      <errorWord>污水厂</errorWord>
      <group>L1_Word</group>
      <groupName>字词问题</groupName>
      <ability>L2_Typo</ability>
      <abilityName>字词错误</abilityName>
      <candidateList>
        <item>污水处理厂</item>
      </candidateList>
      <explain/>
      <paraID>2153CC3D</paraID>
      <start>222</start>
      <end>222</end>
      <status>modified</status>
      <modifiedWord>污水处理厂</modifiedWord>
      <trackRevisions>false</trackRevisions>
    </reviewItem>
    <reviewItem>
      <errorID>c89686ff-dfcb-45b4-956c-6893d25b8988</errorID>
      <errorWord>（</errorWord>
      <group>L1_Punc</group>
      <groupName>标点问题</groupName>
      <ability>L2_Punc</ability>
      <abilityName>标点符号检查</abilityName>
      <candidateList/>
      <explain>同一形式括号套用。</explain>
      <paraID>693CEA67</paraID>
      <start>82</start>
      <end>83</end>
      <status>ignored</status>
      <modifiedWord/>
      <trackRevisions>false</trackRevisions>
    </reviewItem>
    <reviewItem>
      <errorID>301cb6a3-56d5-4d0d-8086-4783f646a8db</errorID>
      <errorWord>）</errorWord>
      <group>L1_Punc</group>
      <groupName>标点问题</groupName>
      <ability>L2_Punc</ability>
      <abilityName>标点符号检查</abilityName>
      <candidateList/>
      <explain>同一形式括号套用。</explain>
      <paraID>693CEA67</paraID>
      <start>98</start>
      <end>99</end>
      <status>ignored</status>
      <modifiedWord/>
      <trackRevisions>false</trackRevisions>
    </reviewItem>
    <reviewItem>
      <errorID>751c3b04-1630-4a7e-b6fd-64020ac82452</errorID>
      <errorWord>合成型</errorWord>
      <group>L1_Word</group>
      <groupName>字词问题</groupName>
      <ability>L2_Typo</ability>
      <abilityName>字词错误</abilityName>
      <candidateList>
        <item>合成形</item>
      </candidateList>
      <explain/>
      <paraID>399EED9E</paraID>
      <start>8</start>
      <end>11</end>
      <status>ignored</status>
      <modifiedWord/>
      <trackRevisions>false</trackRevisions>
    </reviewItem>
    <reviewItem>
      <errorID>03ef681c-efc3-4eac-9d10-55760313913d</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48F5988D</paraID>
      <start>87</start>
      <end>94</end>
      <status>modified</status>
      <modifiedWord>10%～20%</modifiedWord>
      <trackRevisions>false</trackRevisions>
    </reviewItem>
    <reviewItem>
      <errorID>eb7c09e8-300a-4e80-9c9e-49b79cd1517b</errorID>
      <errorWord>15~35%</errorWord>
      <group>L1_Knowledge</group>
      <groupName>知识性问题</groupName>
      <ability>L2_Knowledge</ability>
      <abilityName>其他知识</abilityName>
      <candidateList>
        <item>15%～35%</item>
      </candidateList>
      <explain>1. “15~35%”中的单位“%”仅出现在后一个数字上，容易引起歧义；根据《现代汉语标点符号数字用法规范手册》，数字表示范围两边需要使用统一的格式。2. 根据标点国标 4.13 中的规则，数字、时间或地域连接符应使用（视觉上更长的）“—”或“～”。</explain>
      <paraID>48F5988D</paraID>
      <start>100</start>
      <end>107</end>
      <status>modified</status>
      <modifiedWord>15%～35%</modifiedWord>
      <trackRevisions>false</trackRevisions>
    </reviewItem>
    <reviewItem>
      <errorID>aa4957a1-8d18-4c52-aa04-c7ec6aa208e9</errorID>
      <errorWord>15~35%</errorWord>
      <group>L1_Knowledge</group>
      <groupName>知识性问题</groupName>
      <ability>L2_Knowledge</ability>
      <abilityName>其他知识</abilityName>
      <candidateList>
        <item>15%～35%</item>
      </candidateList>
      <explain>1. “15~35%”中的单位“%”仅出现在后一个数字上，容易引起歧义；根据《现代汉语标点符号数字用法规范手册》，数字表示范围两边需要使用统一的格式。2. 根据标点国标 4.13 中的规则，数字、时间或地域连接符应使用（视觉上更长的）“—”或“～”。</explain>
      <paraID>48F5988D</paraID>
      <start>110</start>
      <end>117</end>
      <status>modified</status>
      <modifiedWord>15%～35%</modifiedWord>
      <trackRevisions>false</trackRevisions>
    </reviewItem>
    <reviewItem>
      <errorID>2809928a-a77f-43cf-8d77-788bd4233302</errorID>
      <errorWord>5~15%</errorWord>
      <group>L1_Knowledge</group>
      <groupName>知识性问题</groupName>
      <ability>L2_Knowledge</ability>
      <abilityName>其他知识</abilityName>
      <candidateList>
        <item>5%～15%</item>
      </candidateList>
      <explain>1. “5~15%”中的单位“%”仅出现在后一个数字上，容易引起歧义；根据《现代汉语标点符号数字用法规范手册》，数字表示范围两边需要使用统一的格式。2. 根据标点国标 4.13 中的规则，数字、时间或地域连接符应使用（视觉上更长的）“—”或“～”。</explain>
      <paraID>48F5988D</paraID>
      <start>122</start>
      <end>128</end>
      <status>modified</status>
      <modifiedWord>5%～15%</modifiedWord>
      <trackRevisions>false</trackRevisions>
    </reviewItem>
    <reviewItem>
      <errorID>3ca9ce35-50ae-45e2-8132-ff2b8aff239a</errorID>
      <errorWord>2~8%</errorWord>
      <group>L1_Knowledge</group>
      <groupName>知识性问题</groupName>
      <ability>L2_Knowledge</ability>
      <abilityName>其他知识</abilityName>
      <candidateList>
        <item>2%～8%</item>
      </candidateList>
      <explain>1. “2~8%”中的单位“%”仅出现在后一个数字上，容易引起歧义；根据《现代汉语标点符号数字用法规范手册》，数字表示范围两边需要使用统一的格式。2. 根据标点国标 4.13 中的规则，数字、时间或地域连接符应使用（视觉上更长的）“—”或“～”。</explain>
      <paraID>48F5988D</paraID>
      <start>131</start>
      <end>136</end>
      <status>modified</status>
      <modifiedWord>2%～8%</modifiedWord>
      <trackRevisions>false</trackRevisions>
    </reviewItem>
    <reviewItem>
      <errorID>47dacfa7-69c5-417b-a3be-f57ac26c81f3</errorID>
      <errorWord>丙烯酸脂</errorWord>
      <group>L1_Word</group>
      <groupName>字词问题</groupName>
      <ability>L2_Typo</ability>
      <abilityName>字词错误</abilityName>
      <candidateList>
        <item>丙烯酸酯</item>
      </candidateList>
      <explain/>
      <paraID>3C62E362</paraID>
      <start>15</start>
      <end>19</end>
      <status>ignored</status>
      <modifiedWord/>
      <trackRevisions>false</trackRevisions>
    </reviewItem>
    <reviewItem>
      <errorID>0fa08d15-7f8c-4428-b759-586ce749eb8c</errorID>
      <errorWord>32~44%</errorWord>
      <group>L1_Knowledge</group>
      <groupName>知识性问题</groupName>
      <ability>L2_Knowledge</ability>
      <abilityName>其他知识</abilityName>
      <candidateList>
        <item>32%～44%</item>
      </candidateList>
      <explain>1. “32~44%”中的单位“%”仅出现在后一个数字上，容易引起歧义；根据《现代汉语标点符号数字用法规范手册》，数字表示范围两边需要使用统一的格式。2.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19</start>
      <end>26</end>
      <status>modified</status>
      <modifiedWord>32%～44%</modifiedWord>
      <trackRevisions>false</trackRevisions>
    </reviewItem>
    <reviewItem>
      <errorID>4bbf122e-0cb9-49b6-a9dc-52e112923b60</errorID>
      <errorWord>丙烯酸脂</errorWord>
      <group>L1_Word</group>
      <groupName>字词问题</groupName>
      <ability>L2_Typo</ability>
      <abilityName>字词错误</abilityName>
      <candidateList>
        <item>丙烯酸酯</item>
      </candidateList>
      <explain>存在发音相同字词的误用。</explain>
      <paraID>3C62E362</paraID>
      <start>31</start>
      <end>35</end>
      <status>ignored</status>
      <modifiedWord/>
      <trackRevisions>false</trackRevisions>
    </reviewItem>
    <reviewItem>
      <errorID>04234c74-3e6f-4abb-b7c7-c4fec4f4725f</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35</start>
      <end>41</end>
      <status>modified</status>
      <modifiedWord>6%—10%</modifiedWord>
      <trackRevisions>false</trackRevisions>
    </reviewItem>
    <reviewItem>
      <errorID>845ec19f-ac94-4117-b61e-9e72c6f3d7bb</errorID>
      <errorWord>6-10%</errorWord>
      <group>L1_Knowledge</group>
      <groupName>知识性问题</groupName>
      <ability>L2_Knowledge</ability>
      <abilityName>其他知识</abilityName>
      <candidateList>
        <item>6%—10%</item>
      </candidateList>
      <explain>1. “6-10%”中的单位“%”仅出现在后一个数字上，容易引起歧义；根据《现代汉语标点符号数字用法规范手册》，数字表示范围两边需要使用统一的格式。2.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51</start>
      <end>57</end>
      <status>modified</status>
      <modifiedWord>6%—10%</modifiedWord>
      <trackRevisions>false</trackRevisions>
    </reviewItem>
    <reviewItem>
      <errorID>f890023c-bd19-404d-b327-884d037546a8</errorID>
      <errorWord>5~7%</errorWord>
      <group>L1_Knowledge</group>
      <groupName>知识性问题</groupName>
      <ability>L2_Knowledge</ability>
      <abilityName>其他知识</abilityName>
      <candidateList>
        <item>5%～7%</item>
      </candidateList>
      <explain>1. “5~7%”中的单位“%”仅出现在后一个数字上，容易引起歧义；根据《现代汉语标点符号数字用法规范手册》，数字表示范围两边需要使用统一的格式。2.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62</start>
      <end>67</end>
      <status>modified</status>
      <modifiedWord>5%～7%</modifiedWord>
      <trackRevisions>false</trackRevisions>
    </reviewItem>
    <reviewItem>
      <errorID>48bbd165-22de-4218-b4ea-a9ae2ee60c1e</errorID>
      <errorWord>17~22%</errorWord>
      <group>L1_Knowledge</group>
      <groupName>知识性问题</groupName>
      <ability>L2_Knowledge</ability>
      <abilityName>其他知识</abilityName>
      <candidateList>
        <item>17%～22%</item>
      </candidateList>
      <explain>1. “17~22%”中的单位“%”仅出现在后一个数字上，容易引起歧义；根据《现代汉语标点符号数字用法规范手册》，数字表示范围两边需要使用统一的格式。2.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70</start>
      <end>77</end>
      <status>modified</status>
      <modifiedWord>17%～22%</modifiedWord>
      <trackRevisions>false</trackRevisions>
    </reviewItem>
    <reviewItem>
      <errorID>fccd8345-cdcb-40f0-871e-a0b0edbc8152</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81</start>
      <end>86</end>
      <status>modified</status>
      <modifiedWord>2%～4%</modifiedWord>
      <trackRevisions>false</trackRevisions>
    </reviewItem>
    <reviewItem>
      <errorID>51cd1fd4-4744-4efc-ab7f-8d8e41687eb4</errorID>
      <errorWord>0~30%</errorWord>
      <group>L1_Knowledge</group>
      <groupName>知识性问题</groupName>
      <ability>L2_Knowledge</ability>
      <abilityName>其他知识</abilityName>
      <candidateList>
        <item>0～30%</item>
      </candidateList>
      <explain>1. “0~30%”中的单位“%”仅出现在后一个数字上，容易引起歧义；根据《现代汉语标点符号数字用法规范手册》，数字表示范围两边需要使用统一的格式。2.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90</start>
      <end>95</end>
      <status>modified</status>
      <modifiedWord>0～30%</modifiedWord>
      <trackRevisions>false</trackRevisions>
    </reviewItem>
    <reviewItem>
      <errorID>d7803c4f-969c-482e-9283-8102f3011934</errorID>
      <errorWord>0~6%</errorWord>
      <group>L1_Knowledge</group>
      <groupName>知识性问题</groupName>
      <ability>L2_Knowledge</ability>
      <abilityName>其他知识</abilityName>
      <candidateList>
        <item>0～6%</item>
      </candidateList>
      <explain>1. “0~6%”中的单位“%”仅出现在后一个数字上，容易引起歧义；根据《现代汉语标点符号数字用法规范手册》，数字表示范围两边需要使用统一的格式。2. 根据标点国标 4.13 中的规则，数字、时间或地域连接符应使用（视觉上更长的）“—”或“～”。</explain>
      <paraID>3C62E362</paraID>
      <start>98</start>
      <end>102</end>
      <status>modified</status>
      <modifiedWord>0～6%</modifiedWord>
      <trackRevisions>false</trackRevisions>
    </reviewItem>
    <reviewItem>
      <errorID>3e95326a-b753-47f3-a27e-913d767e506e</errorID>
      <errorWord>已基丙烯酸酯</errorWord>
      <group>L1_Knowledge</group>
      <groupName>知识性问题</groupName>
      <ability>L2_Term</ability>
      <abilityName>专业术语</abilityName>
      <candidateList>
        <item>氰基丙烯酸酯</item>
      </candidateList>
      <explain/>
      <paraID>3C62E362</paraID>
      <start>112</start>
      <end>118</end>
      <status>ignored</status>
      <modifiedWord/>
      <trackRevisions>false</trackRevisions>
    </reviewItem>
    <reviewItem>
      <errorID>99a61bf0-0133-4090-89af-3974c8815ee8</errorID>
      <errorWord>40-60%</errorWord>
      <group>L1_Knowledge</group>
      <groupName>知识性问题</groupName>
      <ability>L2_Knowledge</ability>
      <abilityName>其他知识</abilityName>
      <candidateList>
        <item>40%—60%</item>
      </candidateList>
      <explain>1. “40-60%”中的单位“%”仅出现在后一个数字上，容易引起歧义；根据《现代汉语标点符号数字用法规范手册》，数字表示范围两边需要使用统一的格式。2. 根据标点国标 4.13 中的规则，数字、时间或地域连接符应使用（视觉上更长的）“—”或“～”。</explain>
      <paraID>1A32090B</paraID>
      <start>17</start>
      <end>24</end>
      <status>modified</status>
      <modifiedWord>40%—60%</modifiedWord>
      <trackRevisions>false</trackRevisions>
    </reviewItem>
    <reviewItem>
      <errorID>8e4ba98d-0e04-45da-be4c-5c8aef9efebe</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1A32090B</paraID>
      <start>29</start>
      <end>36</end>
      <status>modified</status>
      <modifiedWord>20%—30%</modifiedWord>
      <trackRevisions>false</trackRevisions>
    </reviewItem>
    <reviewItem>
      <errorID>34db0111-ff0f-4d87-9a58-698f103518f2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1A32090B</paraID>
      <start>42</start>
      <end>49</end>
      <status>modified</status>
      <modifiedWord>10%—20%</modifiedWord>
      <trackRevisions>false</trackRevisions>
    </reviewItem>
    <reviewItem>
      <errorID>0d7de25d-d1ca-4fbb-a7fc-b3f15f5e213d</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1A32090B</paraID>
      <start>52</start>
      <end>58</end>
      <status>modified</status>
      <modifiedWord>5%—10%</modifiedWord>
      <trackRevisions>false</trackRevisions>
    </reviewItem>
    <reviewItem>
      <errorID>47b2cb47-2f04-4287-8741-933a358c54f6</errorID>
      <errorWord>（</errorWord>
      <group>L1_Word</group>
      <groupName>字词问题</groupName>
      <ability>L2_Typo</ability>
      <abilityName>字词错误</abilityName>
      <candidateList>
        <item>（全</item>
      </candidateList>
      <explain/>
      <paraID> 3088889</paraID>
      <start>14</start>
      <end>16</end>
      <status>modified</status>
      <modifiedWord>（全</modifiedWord>
      <trackRevisions>false</trackRevisions>
    </reviewItem>
    <reviewItem>
      <errorID>babb344a-2cc1-4fff-a221-2554c3123cde</errorID>
      <errorWord>（</errorWord>
      <group>L1_Format</group>
      <groupName>格式问题</groupName>
      <ability>L2_HalfPunc</ability>
      <abilityName>全半角检查</abilityName>
      <candidateList>
        <item>(</item>
      </candidateList>
      <explain>文本全半角错误。</explain>
      <paraID>4ABB6C56</paraID>
      <start>0</start>
      <end>1</end>
      <status>modified</status>
      <modifiedWord>(</modifiedWord>
      <trackRevisions>false</trackRevisions>
    </reviewItem>
    <reviewItem>
      <errorID>82dcb947-5fd1-4e66-bbd0-4e03db647d32</errorID>
      <errorWord>）</errorWord>
      <group>L1_Format</group>
      <groupName>格式问题</groupName>
      <ability>L2_HalfPunc</ability>
      <abilityName>全半角检查</abilityName>
      <candidateList>
        <item>)</item>
      </candidateList>
      <explain>文本全半角错误。</explain>
      <paraID>4ABB6C56</paraID>
      <start>5</start>
      <end>6</end>
      <status>modified</status>
      <modifiedWord>)</modifiedWord>
      <trackRevisions>false</trackRevisions>
    </reviewItem>
    <reviewItem>
      <errorID>29afab6b-02a3-4be6-836f-af71934a6c27</errorID>
      <errorWord>（</errorWord>
      <group>L1_Format</group>
      <groupName>格式问题</groupName>
      <ability>L2_HalfPunc</ability>
      <abilityName>全半角检查</abilityName>
      <candidateList>
        <item>(</item>
      </candidateList>
      <explain>文本全半角错误。</explain>
      <paraID> B02D8E7</paraID>
      <start>0</start>
      <end>1</end>
      <status>modified</status>
      <modifiedWord>(</modifiedWord>
      <trackRevisions>false</trackRevisions>
    </reviewItem>
    <reviewItem>
      <errorID>b7685e18-fb80-4028-aea2-8a4111b1c19f</errorID>
      <errorWord>）</errorWord>
      <group>L1_Format</group>
      <groupName>格式问题</groupName>
      <ability>L2_HalfPunc</ability>
      <abilityName>全半角检查</abilityName>
      <candidateList>
        <item>)</item>
      </candidateList>
      <explain>文本全半角错误。</explain>
      <paraID> B02D8E7</paraID>
      <start>4</start>
      <end>5</end>
      <status>modified</status>
      <modifiedWord>)</modifiedWord>
      <trackRevisions>false</trackRevisions>
    </reviewItem>
    <reviewItem>
      <errorID>b624dd52-4e72-4e84-befe-8591b99084b2</errorID>
      <errorWord>（</errorWord>
      <group>L1_Format</group>
      <groupName>格式问题</groupName>
      <ability>L2_HalfPunc</ability>
      <abilityName>全半角检查</abilityName>
      <candidateList>
        <item>(</item>
      </candidateList>
      <explain>文本全半角错误。</explain>
      <paraID>7581B208</paraID>
      <start>0</start>
      <end>1</end>
      <status>modified</status>
      <modifiedWord>(</modifiedWord>
      <trackRevisions>false</trackRevisions>
    </reviewItem>
    <reviewItem>
      <errorID>c92f38f0-4af6-4d65-aa79-6fd9279e45c9</errorID>
      <errorWord>）</errorWord>
      <group>L1_Format</group>
      <groupName>格式问题</groupName>
      <ability>L2_HalfPunc</ability>
      <abilityName>全半角检查</abilityName>
      <candidateList>
        <item>)</item>
      </candidateList>
      <explain>文本全半角错误。</explain>
      <paraID>7581B208</paraID>
      <start>5</start>
      <end>6</end>
      <status>modified</status>
      <modifiedWord>)</modifiedWord>
      <trackRevisions>false</trackRevisions>
    </reviewItem>
    <reviewItem>
      <errorID>c0afd393-fece-4364-8c13-c1244e1d42f9</errorID>
      <errorWord>（</errorWord>
      <group>L1_Format</group>
      <groupName>格式问题</groupName>
      <ability>L2_HalfPunc</ability>
      <abilityName>全半角检查</abilityName>
      <candidateList>
        <item>(</item>
      </candidateList>
      <explain>文本全半角错误。</explain>
      <paraID> A510723</paraID>
      <start>0</start>
      <end>1</end>
      <status>modified</status>
      <modifiedWord>(</modifiedWord>
      <trackRevisions>false</trackRevisions>
    </reviewItem>
    <reviewItem>
      <errorID>ee17cef0-7c85-46ae-8b04-cbe32fc0a310</errorID>
      <errorWord>）</errorWord>
      <group>L1_Format</group>
      <groupName>格式问题</groupName>
      <ability>L2_HalfPunc</ability>
      <abilityName>全半角检查</abilityName>
      <candidateList>
        <item>)</item>
      </candidateList>
      <explain>文本全半角错误。</explain>
      <paraID> A510723</paraID>
      <start>6</start>
      <end>7</end>
      <status>modified</status>
      <modifiedWord>)</modifiedWord>
      <trackRevisions>false</trackRevisions>
    </reviewItem>
    <reviewItem>
      <errorID>2a00dec9-d464-4e02-b56d-06ff5c3a88d8</errorID>
      <errorWord>（</errorWord>
      <group>L1_Format</group>
      <groupName>格式问题</groupName>
      <ability>L2_HalfPunc</ability>
      <abilityName>全半角检查</abilityName>
      <candidateList>
        <item>(</item>
      </candidateList>
      <explain>文本全半角错误。</explain>
      <paraID>3708FE06</paraID>
      <start>0</start>
      <end>1</end>
      <status>modified</status>
      <modifiedWord>(</modifiedWord>
      <trackRevisions>false</trackRevisions>
    </reviewItem>
    <reviewItem>
      <errorID>c57e6ef7-264f-4656-a135-fb8a1136f0e5</errorID>
      <errorWord>：</errorWord>
      <group>L1_Format</group>
      <groupName>格式问题</groupName>
      <ability>L2_HalfPunc</ability>
      <abilityName>全半角检查</abilityName>
      <candidateList>
        <item>:</item>
      </candidateList>
      <explain>文本全半角错误。</explain>
      <paraID>3708FE06</paraID>
      <start>2</start>
      <end>3</end>
      <status>modified</status>
      <modifiedWord>:</modifiedWord>
      <trackRevisions>false</trackRevisions>
    </reviewItem>
    <reviewItem>
      <errorID>1a1c525b-5be9-4047-a5ca-ac4d9d9f07d8</errorID>
      <errorWord>，</errorWord>
      <group>L1_Format</group>
      <groupName>格式问题</groupName>
      <ability>L2_HalfPunc</ability>
      <abilityName>全半角检查</abilityName>
      <candidateList>
        <item>, </item>
      </candidateList>
      <explain>文本全半角错误。</explain>
      <paraID>3708FE06</paraID>
      <start>16</start>
      <end>18</end>
      <status>modified</status>
      <modifiedWord>, </modifiedWord>
      <trackRevisions>false</trackRevisions>
    </reviewItem>
    <reviewItem>
      <errorID>83a7d72c-9943-4236-9e20-216586f3ed2c</errorID>
      <errorWord>）</errorWord>
      <group>L1_Format</group>
      <groupName>格式问题</groupName>
      <ability>L2_HalfPunc</ability>
      <abilityName>全半角检查</abilityName>
      <candidateList>
        <item>)</item>
      </candidateList>
      <explain>文本全半角错误。</explain>
      <paraID>3708FE06</paraID>
      <start>32</start>
      <end>33</end>
      <status>modified</status>
      <modifiedWord>)</modifiedWord>
      <trackRevisions>false</trackRevisions>
    </reviewItem>
    <reviewItem>
      <errorID>dd06e0b3-f26b-4833-8098-7284da9971e6</errorID>
      <errorWord>认为</errorWord>
      <group>L1_Word</group>
      <groupName>字词问题</groupName>
      <ability>L2_Typo</ability>
      <abilityName>字词错误</abilityName>
      <candidateList>
        <item>人为</item>
      </candidateList>
      <explain>❶〈动〉人去做：事在～。❷〈形〉属性词。人造成的（用于不如意的事）：～的障碍｜～的困难。</explain>
      <paraID> E78C5B9</paraID>
      <start>79</start>
      <end>81</end>
      <status>ignored</status>
      <modifiedWord/>
      <trackRevisions>false</trackRevisions>
    </reviewItem>
    <reviewItem>
      <errorID>f6d57734-8bdb-495a-9254-ffa488c1fb2f</errorID>
      <errorWord>(</errorWord>
      <group>L1_Format</group>
      <groupName>格式问题</groupName>
      <ability>L2_HalfPunc</ability>
      <abilityName>全半角检查</abilityName>
      <candidateList>
        <item>（</item>
      </candidateList>
      <explain>文本全半角错误。</explain>
      <paraID>29081489</paraID>
      <start>20</start>
      <end>21</end>
      <status>modified</status>
      <modifiedWord>（</modifiedWord>
      <trackRevisions>false</trackRevisions>
    </reviewItem>
    <reviewItem>
      <errorID>947e45af-3df5-49cf-b9ba-46c92d92e180</errorID>
      <errorWord>)(</errorWord>
      <group>L1_Format</group>
      <groupName>格式问题</groupName>
      <ability>L2_HalfPunc</ability>
      <abilityName>全半角检查</abilityName>
      <candidateList>
        <item>）（</item>
      </candidateList>
      <explain>文本全半角错误。</explain>
      <paraID>29081489</paraID>
      <start>26</start>
      <end>28</end>
      <status>modified</status>
      <modifiedWord>）（</modifiedWord>
      <trackRevisions>false</trackRevisions>
    </reviewItem>
    <reviewItem>
      <errorID>bf3eb2a1-140a-4639-a015-d47181a92d97</errorID>
      <errorWord>)</errorWord>
      <group>L1_Format</group>
      <groupName>格式问题</groupName>
      <ability>L2_HalfPunc</ability>
      <abilityName>全半角检查</abilityName>
      <candidateList>
        <item>）</item>
      </candidateList>
      <explain>文本全半角错误。</explain>
      <paraID>29081489</paraID>
      <start>30</start>
      <end>31</end>
      <status>modified</status>
      <modifiedWord>）</modifiedWord>
      <trackRevisions>false</trackRevisions>
    </reviewItem>
    <reviewItem>
      <errorID>8f87b73b-aa3f-4745-8b3f-0cd44d7316b4</errorID>
      <errorWord>(</errorWord>
      <group>L1_Format</group>
      <groupName>格式问题</groupName>
      <ability>L2_HalfPunc</ability>
      <abilityName>全半角检查</abilityName>
      <candidateList>
        <item>（</item>
      </candidateList>
      <explain>文本全半角错误。</explain>
      <paraID>29081489</paraID>
      <start>32</start>
      <end>33</end>
      <status>modified</status>
      <modifiedWord>（</modifiedWord>
      <trackRevisions>false</trackRevisions>
    </reviewItem>
    <reviewItem>
      <errorID>85246933-84f0-4db1-bfca-8f0ef9f9aefc</errorID>
      <errorWord>)</errorWord>
      <group>L1_Format</group>
      <groupName>格式问题</groupName>
      <ability>L2_HalfPunc</ability>
      <abilityName>全半角检查</abilityName>
      <candidateList>
        <item>）</item>
      </candidateList>
      <explain>文本全半角错误。</explain>
      <paraID>29081489</paraID>
      <start>46</start>
      <end>47</end>
      <status>modified</status>
      <modifiedWord>）</modifiedWord>
      <trackRevisions>false</trackRevisions>
    </reviewItem>
    <reviewItem>
      <errorID>9df8a282-d49e-4d05-8434-13d042c3bc2f</errorID>
      <errorWord>(</errorWord>
      <group>L1_Format</group>
      <groupName>格式问题</groupName>
      <ability>L2_HalfPunc</ability>
      <abilityName>全半角检查</abilityName>
      <candidateList>
        <item>（</item>
      </candidateList>
      <explain>文本全半角错误。</explain>
      <paraID>29081489</paraID>
      <start>87</start>
      <end>88</end>
      <status>modified</status>
      <modifiedWord>（</modifiedWord>
      <trackRevisions>false</trackRevisions>
    </reviewItem>
    <reviewItem>
      <errorID>c2263ceb-b3e8-40b7-b8fc-38f6d763d996</errorID>
      <errorWord>)</errorWord>
      <group>L1_Format</group>
      <groupName>格式问题</groupName>
      <ability>L2_HalfPunc</ability>
      <abilityName>全半角检查</abilityName>
      <candidateList>
        <item>）</item>
      </candidateList>
      <explain>文本全半角错误。</explain>
      <paraID>29081489</paraID>
      <start>101</start>
      <end>102</end>
      <status>modified</status>
      <modifiedWord>）</modifiedWord>
      <trackRevisions>false</trackRevisions>
    </reviewItem>
    <reviewItem>
      <errorID>4f96b867-f1c7-4b4f-b140-1eb03fd1fb7d</errorID>
      <errorWord>(</errorWord>
      <group>L1_Format</group>
      <groupName>格式问题</groupName>
      <ability>L2_HalfPunc</ability>
      <abilityName>全半角检查</abilityName>
      <candidateList>
        <item>（</item>
      </candidateList>
      <explain>文本全半角错误。</explain>
      <paraID>29081489</paraID>
      <start>155</start>
      <end>156</end>
      <status>modified</status>
      <modifiedWord>（</modifiedWord>
      <trackRevisions>false</trackRevisions>
    </reviewItem>
    <reviewItem>
      <errorID>1963b518-1915-4058-851e-acf42c66485a</errorID>
      <errorWord>)</errorWord>
      <group>L1_Format</group>
      <groupName>格式问题</groupName>
      <ability>L2_HalfPunc</ability>
      <abilityName>全半角检查</abilityName>
      <candidateList>
        <item>）</item>
      </candidateList>
      <explain>文本全半角错误。</explain>
      <paraID>29081489</paraID>
      <start>166</start>
      <end>167</end>
      <status>modified</status>
      <modifiedWord>）</modifiedWord>
      <trackRevisions>false</trackRevisions>
    </reviewItem>
    <reviewItem>
      <errorID>cac3d7b0-0531-47b3-a2c1-4663c753d94b</errorID>
      <errorWord>(</errorWord>
      <group>L1_Format</group>
      <groupName>格式问题</groupName>
      <ability>L2_HalfPunc</ability>
      <abilityName>全半角检查</abilityName>
      <candidateList>
        <item>（</item>
      </candidateList>
      <explain>文本全半角错误。</explain>
      <paraID>29081489</paraID>
      <start>199</start>
      <end>200</end>
      <status>modified</status>
      <modifiedWord>（</modifiedWord>
      <trackRevisions>false</trackRevisions>
    </reviewItem>
    <reviewItem>
      <errorID>b01a99c7-87c6-429c-a591-ea97393693c8</errorID>
      <errorWord>)</errorWord>
      <group>L1_Format</group>
      <groupName>格式问题</groupName>
      <ability>L2_HalfPunc</ability>
      <abilityName>全半角检查</abilityName>
      <candidateList>
        <item>）</item>
      </candidateList>
      <explain>文本全半角错误。</explain>
      <paraID>29081489</paraID>
      <start>208</start>
      <end>209</end>
      <status>modified</status>
      <modifiedWord>）</modifiedWord>
      <trackRevisions>false</trackRevisions>
    </reviewItem>
    <reviewItem>
      <errorID>2895a908-7e54-4934-ba37-cfa96bbbc1dc</errorID>
      <errorWord>(</errorWord>
      <group>L1_Format</group>
      <groupName>格式问题</groupName>
      <ability>L2_HalfPunc</ability>
      <abilityName>全半角检查</abilityName>
      <candidateList>
        <item>（</item>
      </candidateList>
      <explain>文本全半角错误。</explain>
      <paraID>29081489</paraID>
      <start>253</start>
      <end>254</end>
      <status>modified</status>
      <modifiedWord>（</modifiedWord>
      <trackRevisions>false</trackRevisions>
    </reviewItem>
    <reviewItem>
      <errorID>b50e8617-3baa-45f1-9dd4-ffdcdc793991</errorID>
      <errorWord>)</errorWord>
      <group>L1_Format</group>
      <groupName>格式问题</groupName>
      <ability>L2_HalfPunc</ability>
      <abilityName>全半角检查</abilityName>
      <candidateList>
        <item>）</item>
      </candidateList>
      <explain>文本全半角错误。</explain>
      <paraID>29081489</paraID>
      <start>264</start>
      <end>265</end>
      <status>modified</status>
      <modifiedWord>）</modifiedWord>
      <trackRevisions>false</trackRevisions>
    </reviewItem>
    <reviewItem>
      <errorID>d6e76f0f-bff9-47a3-b82e-702147cfad6a</errorID>
      <errorWord>碳</errorWord>
      <group>L1_Word</group>
      <groupName>字词问题</groupName>
      <ability>L2_Typo</ability>
      <abilityName>字词错误</abilityName>
      <candidateList>
        <item>炭</item>
      </candidateList>
      <explain>存在发音相同字词的误用。</explain>
      <paraID>2E9ADCA4</paraID>
      <start>251</start>
      <end>252</end>
      <status>modified</status>
      <modifiedWord>炭</modifiedWord>
      <trackRevisions>false</trackRevisions>
    </reviewItem>
    <reviewItem>
      <errorID>273c34f1-5dbd-40ea-9af6-61f54087e6d9</errorID>
      <errorWord>（</errorWord>
      <group>L1_Punc</group>
      <groupName>标点问题</groupName>
      <ability>L2_Punc</ability>
      <abilityName>标点符号检查</abilityName>
      <candidateList/>
      <explain>同一形式括号套用。</explain>
      <paraID>2E9ADCA4</paraID>
      <start>298</start>
      <end>299</end>
      <status>ignored</status>
      <modifiedWord/>
      <trackRevisions>false</trackRevisions>
    </reviewItem>
    <reviewItem>
      <errorID>26fbdcd0-4a2b-4e15-a548-05769da2ff15</errorID>
      <errorWord>）</errorWord>
      <group>L1_Punc</group>
      <groupName>标点问题</groupName>
      <ability>L2_Punc</ability>
      <abilityName>标点符号检查</abilityName>
      <candidateList/>
      <explain>同一形式括号套用。</explain>
      <paraID>2E9ADCA4</paraID>
      <start>304</start>
      <end>305</end>
      <status>ignored</status>
      <modifiedWord/>
      <trackRevisions>false</trackRevisions>
    </reviewItem>
    <reviewItem>
      <errorID>80f0ba85-09c0-452e-9e5d-12316104a13a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2E9ADCA4</paraID>
      <start>308</start>
      <end>309</end>
      <status>modified</status>
      <modifiedWord>—</modifiedWord>
      <trackRevisions>false</trackRevisions>
    </reviewItem>
    <reviewItem>
      <errorID>8f313f66-000e-4bb4-8eb6-6e2cd3cc370b</errorID>
      <errorWord>(</errorWord>
      <group>L1_Format</group>
      <groupName>格式问题</groupName>
      <ability>L2_HalfPunc</ability>
      <abilityName>全半角检查</abilityName>
      <candidateList>
        <item>（</item>
      </candidateList>
      <explain>文本全半角错误。</explain>
      <paraID> 2247FE8</paraID>
      <start>83</start>
      <end>84</end>
      <status>modified</status>
      <modifiedWord>（</modifiedWord>
      <trackRevisions>false</trackRevisions>
    </reviewItem>
    <reviewItem>
      <errorID>4076d72f-272c-4bb4-b315-7b9cd25b7643</errorID>
      <errorWord>)</errorWord>
      <group>L1_Format</group>
      <groupName>格式问题</groupName>
      <ability>L2_HalfPunc</ability>
      <abilityName>全半角检查</abilityName>
      <candidateList>
        <item>）</item>
      </candidateList>
      <explain>文本全半角错误。</explain>
      <paraID> 2247FE8</paraID>
      <start>86</start>
      <end>87</end>
      <status>modified</status>
      <modifiedWord>）</modifiedWord>
      <trackRevisions>false</trackRevisions>
    </reviewItem>
    <reviewItem>
      <errorID>7966b8cb-1610-432d-a385-646db74b8c68</errorID>
      <errorWord>加强的</errorWord>
      <group>L1_Word</group>
      <groupName>字词问题</groupName>
      <ability>L2_Typo</ability>
      <abilityName>字词错误</abilityName>
      <candidateList>
        <item>加强</item>
      </candidateList>
      <explain/>
      <paraID>58573398</paraID>
      <start>52</start>
      <end>54</end>
      <status>modified</status>
      <modifiedWord>加强</modifiedWord>
      <trackRevisions>false</trackRevisions>
    </reviewItem>
    <reviewItem>
      <errorID>8151ce88-efd8-4f4a-a75b-605398befc69</errorID>
      <errorWord>、</errorWord>
      <group>L1_Punc</group>
      <groupName>标点问题</groupName>
      <ability>L2_Punc</ability>
      <abilityName>标点符号检查</abilityName>
      <candidateList>
        <item>.</item>
      </candidateList>
      <explain/>
      <paraID>52E3B704</paraID>
      <start>1</start>
      <end>2</end>
      <status>modified</status>
      <modifiedWord>.</modifiedWord>
      <trackRevisions>false</trackRevisions>
    </reviewItem>
    <reviewItem>
      <errorID>6025a129-37b7-4fcc-89bf-b2e200e5b81f</errorID>
      <errorWord>、</errorWord>
      <group>L1_Punc</group>
      <groupName>标点问题</groupName>
      <ability>L2_Punc</ability>
      <abilityName>标点符号检查</abilityName>
      <candidateList>
        <item>.</item>
      </candidateList>
      <explain/>
      <paraID> D4FE36B</paraID>
      <start>1</start>
      <end>2</end>
      <status>modified</status>
      <modifiedWord>.</modifiedWord>
      <trackRevisions>false</trackRevisions>
    </reviewItem>
    <reviewItem>
      <errorID>d09aa583-089b-47e9-b308-0ea3cf4729f0</errorID>
      <errorWord>、</errorWord>
      <group>L1_Punc</group>
      <groupName>标点问题</groupName>
      <ability>L2_Punc</ability>
      <abilityName>标点符号检查</abilityName>
      <candidateList>
        <item>.</item>
      </candidateList>
      <explain/>
      <paraID>427D5CAC</paraID>
      <start>1</start>
      <end>2</end>
      <status>modified</status>
      <modifiedWord>.</modifiedWord>
      <trackRevisions>false</trackRevisions>
    </reviewItem>
    <reviewItem>
      <errorID>e9751ba0-7cda-4819-82cf-aba9962dce2c</errorID>
      <errorWord>零部件等</errorWord>
      <group>L1_Word</group>
      <groupName>字词问题</groupName>
      <ability>L2_Typo</ability>
      <abilityName>字词错误</abilityName>
      <candidateList>
        <item>零部件</item>
      </candidateList>
      <explain/>
      <paraID>427D5CAC</paraID>
      <start>16</start>
      <end>19</end>
      <status>modified</status>
      <modifiedWord>零部件</modifiedWord>
      <trackRevisions>false</trackRevisions>
    </reviewItem>
    <reviewItem>
      <errorID>60fcd05a-d1ea-46ca-81ee-40992176165c</errorID>
      <errorWord>、</errorWord>
      <group>L1_Punc</group>
      <groupName>标点问题</groupName>
      <ability>L2_Punc</ability>
      <abilityName>标点符号检查</abilityName>
      <candidateList>
        <item>.</item>
      </candidateList>
      <explain/>
      <paraID>5140F373</paraID>
      <start>1</start>
      <end>2</end>
      <status>modified</status>
      <modifiedWord>.</modifiedWord>
      <trackRevisions>false</trackRevisions>
    </reviewItem>
    <reviewItem>
      <errorID>4e000805-1bdc-46c4-a4da-1c1e431a83f0</errorID>
      <errorWord>、</errorWord>
      <group>L1_Punc</group>
      <groupName>标点问题</groupName>
      <ability>L2_Punc</ability>
      <abilityName>标点符号检查</abilityName>
      <candidateList>
        <item>.</item>
      </candidateList>
      <explain/>
      <paraID>3B6024B5</paraID>
      <start>1</start>
      <end>2</end>
      <status>modified</status>
      <modifiedWord>.</modifiedWord>
      <trackRevisions>false</trackRevisions>
    </reviewItem>
    <reviewItem>
      <errorID>f6d4b599-7176-45da-ab99-883fc5ef6171</errorID>
      <errorWord>（</errorWord>
      <group>L1_Format</group>
      <groupName>格式问题</groupName>
      <ability>L2_HalfPunc</ability>
      <abilityName>全半角检查</abilityName>
      <candidateList>
        <item>(</item>
      </candidateList>
      <explain>文本全半角错误。</explain>
      <paraID>2C38EBE9</paraID>
      <start>0</start>
      <end>1</end>
      <status>modified</status>
      <modifiedWord>(</modifiedWord>
      <trackRevisions>false</trackRevisions>
    </reviewItem>
    <reviewItem>
      <errorID>ba57e5ea-329f-4d3f-838e-4e8d166e4e8e</errorID>
      <errorWord>）</errorWord>
      <group>L1_Format</group>
      <groupName>格式问题</groupName>
      <ability>L2_HalfPunc</ability>
      <abilityName>全半角检查</abilityName>
      <candidateList>
        <item>)</item>
      </candidateList>
      <explain>文本全半角错误。</explain>
      <paraID>2C38EBE9</paraID>
      <start>6</start>
      <end>7</end>
      <status>modified</status>
      <modifiedWord>)</modifiedWord>
      <trackRevisions>false</trackRevisions>
    </reviewItem>
    <reviewItem>
      <errorID>f8130c60-f322-4ae9-a413-c7abcc86cd75</errorID>
      <errorWord>（</errorWord>
      <group>L1_Format</group>
      <groupName>格式问题</groupName>
      <ability>L2_HalfPunc</ability>
      <abilityName>全半角检查</abilityName>
      <candidateList>
        <item>(</item>
      </candidateList>
      <explain>文本全半角错误。</explain>
      <paraID>68E07E7D</paraID>
      <start>0</start>
      <end>1</end>
      <status>modified</status>
      <modifiedWord>(</modifiedWord>
      <trackRevisions>false</trackRevisions>
    </reviewItem>
    <reviewItem>
      <errorID>c0d46224-78f5-475a-820a-f99431d719b5</errorID>
      <errorWord>）</errorWord>
      <group>L1_Format</group>
      <groupName>格式问题</groupName>
      <ability>L2_HalfPunc</ability>
      <abilityName>全半角检查</abilityName>
      <candidateList>
        <item>)</item>
      </candidateList>
      <explain>文本全半角错误。</explain>
      <paraID>68E07E7D</paraID>
      <start>5</start>
      <end>6</end>
      <status>modified</status>
      <modifiedWord>)</modifiedWord>
      <trackRevisions>false</trackRevisions>
    </reviewItem>
    <reviewItem>
      <errorID>68975433-2cc8-43ae-a066-be996984b964</errorID>
      <errorWord>（</errorWord>
      <group>L1_Format</group>
      <groupName>格式问题</groupName>
      <ability>L2_HalfPunc</ability>
      <abilityName>全半角检查</abilityName>
      <candidateList>
        <item>(</item>
      </candidateList>
      <explain>文本全半角错误。</explain>
      <paraID>4DF7150E</paraID>
      <start>0</start>
      <end>1</end>
      <status>modified</status>
      <modifiedWord>(</modifiedWord>
      <trackRevisions>false</trackRevisions>
    </reviewItem>
    <reviewItem>
      <errorID>e9415a2d-50d0-4f2a-9eba-56008cecb39b</errorID>
      <errorWord>）</errorWord>
      <group>L1_Format</group>
      <groupName>格式问题</groupName>
      <ability>L2_HalfPunc</ability>
      <abilityName>全半角检查</abilityName>
      <candidateList>
        <item>)</item>
      </candidateList>
      <explain>文本全半角错误。</explain>
      <paraID>4DF7150E</paraID>
      <start>2</start>
      <end>3</end>
      <status>modified</status>
      <modifiedWord>)</modifiedWord>
      <trackRevisions>false</trackRevisions>
    </reviewItem>
    <reviewItem>
      <errorID>76f7e458-95e4-4f66-9590-1206684e07e3</errorID>
      <errorWord>、</errorWord>
      <group>L1_Punc</group>
      <groupName>标点问题</groupName>
      <ability>L2_Punc</ability>
      <abilityName>标点符号检查</abilityName>
      <candidateList>
        <item>.</item>
      </candidateList>
      <explain/>
      <paraID>53EB4B6E</paraID>
      <start>1</start>
      <end>2</end>
      <status>modified</status>
      <modifiedWord>.</modifiedWord>
      <trackRevisions>false</trackRevisions>
    </reviewItem>
    <reviewItem>
      <errorID>edda00d0-4183-4f86-a098-427ac7d93ed2</errorID>
      <errorWord>、</errorWord>
      <group>L1_Punc</group>
      <groupName>标点问题</groupName>
      <ability>L2_Punc</ability>
      <abilityName>标点符号检查</abilityName>
      <candidateList>
        <item>.</item>
      </candidateList>
      <explain/>
      <paraID>3623E7E7</paraID>
      <start>1</start>
      <end>2</end>
      <status>modified</status>
      <modifiedWord>.</modifiedWord>
      <trackRevisions>false</trackRevisions>
    </reviewItem>
    <reviewItem>
      <errorID>52f6361f-27ad-44e4-a120-66f7a17d6027</errorID>
      <errorWord>、</errorWord>
      <group>L1_Punc</group>
      <groupName>标点问题</groupName>
      <ability>L2_Punc</ability>
      <abilityName>标点符号检查</abilityName>
      <candidateList>
        <item>.</item>
      </candidateList>
      <explain/>
      <paraID>4EE3B4D2</paraID>
      <start>1</start>
      <end>2</end>
      <status>modified</status>
      <modifiedWord>.</modifiedWord>
      <trackRevisions>false</trackRevisions>
    </reviewItem>
    <reviewItem>
      <errorID>5f2d32f4-0017-414b-a58b-1c46d0a3ad10</errorID>
      <errorWord>、</errorWord>
      <group>L1_Punc</group>
      <groupName>标点问题</groupName>
      <ability>L2_Punc</ability>
      <abilityName>标点符号检查</abilityName>
      <candidateList>
        <item>.</item>
      </candidateList>
      <explain/>
      <paraID>4077DBDE</paraID>
      <start>1</start>
      <end>2</end>
      <status>modified</status>
      <modifiedWord>.</modifiedWord>
      <trackRevisions>false</trackRevisions>
    </reviewItem>
    <reviewItem>
      <errorID>80eac3e1-4967-4121-b1c1-0826c5f8f356</errorID>
      <errorWord>、</errorWord>
      <group>L1_Punc</group>
      <groupName>标点问题</groupName>
      <ability>L2_Punc</ability>
      <abilityName>标点符号检查</abilityName>
      <candidateList>
        <item>.</item>
      </candidateList>
      <explain/>
      <paraID>52D596B2</paraID>
      <start>1</start>
      <end>2</end>
      <status>modified</status>
      <modifiedWord>.</modifiedWord>
      <trackRevisions>false</trackRevisions>
    </reviewItem>
    <reviewItem>
      <errorID>8590f93a-8ee8-4f9f-81be-f7cdedb30017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9597F34</paraID>
      <start>11</start>
      <end>13</end>
      <status>modified</status>
      <modifiedWord>》《</modifiedWord>
      <trackRevisions>false</trackRevisions>
    </reviewItem>
    <reviewItem>
      <errorID>8d2e5136-dae1-4b02-91fd-7a2abc598262</errorID>
      <errorWord>源源</errorWord>
      <group>L1_Word</group>
      <groupName>字词问题</groupName>
      <ability>L2_Typo</ability>
      <abilityName>字词错误</abilityName>
      <candidateList>
        <item>源</item>
      </candidateList>
      <explain/>
      <paraID>5F1D95AF</paraID>
      <start>1</start>
      <end>3</end>
      <status>ignored</status>
      <modifiedWord/>
      <trackRevisions>false</trackRevisions>
    </reviewItem>
    <reviewItem>
      <errorID>5eb022c8-c4c0-474e-a8c1-53066dd324b4</errorID>
      <errorWord>-</errorWord>
      <group>L1_Format</group>
      <groupName>格式问题</groupName>
      <ability>L2_HalfPunc</ability>
      <abilityName>全半角检查</abilityName>
      <candidateList>
        <item>－</item>
      </candidateList>
      <explain>文本全半角错误。</explain>
      <paraID>15C16902</paraID>
      <start>14</start>
      <end>15</end>
      <status>modified</status>
      <modifiedWord>－</modifiedWord>
      <trackRevisions>false</trackRevisions>
    </reviewItem>
    <reviewItem>
      <errorID>cb5aed72-2ce8-4035-a791-60fc287666db</errorID>
      <errorWord>、</errorWord>
      <group>L1_Punc</group>
      <groupName>标点问题</groupName>
      <ability>L2_Punc</ability>
      <abilityName>标点符号检查</abilityName>
      <candidateList>
        <item>.</item>
      </candidateList>
      <explain/>
      <paraID>1DF7E908</paraID>
      <start>1</start>
      <end>2</end>
      <status>modified</status>
      <modifiedWord>.</modifiedWord>
      <trackRevisions>false</trackRevisions>
    </reviewItem>
    <reviewItem>
      <errorID>eaa4b4d0-b36e-4090-888e-4d3a9bd0a199</errorID>
      <errorWord>-</errorWord>
      <group>L1_Format</group>
      <groupName>格式问题</groupName>
      <ability>L2_HalfPunc</ability>
      <abilityName>全半角检查</abilityName>
      <candidateList>
        <item>－</item>
      </candidateList>
      <explain>文本全半角错误。</explain>
      <paraID>68CE140B</paraID>
      <start>11</start>
      <end>12</end>
      <status>modified</status>
      <modifiedWord>－</modifiedWord>
      <trackRevisions>false</trackRevisions>
    </reviewItem>
    <reviewItem>
      <errorID>d2a41fba-1c2a-48ee-b118-366da3aa646b</errorID>
      <errorWord>-</errorWord>
      <group>L1_Format</group>
      <groupName>格式问题</groupName>
      <ability>L2_HalfPunc</ability>
      <abilityName>全半角检查</abilityName>
      <candidateList>
        <item>－</item>
      </candidateList>
      <explain>文本全半角错误。</explain>
      <paraID>44E3CD6D</paraID>
      <start>7</start>
      <end>8</end>
      <status>modified</status>
      <modifiedWord>－</modifiedWord>
      <trackRevisions>false</trackRevisions>
    </reviewItem>
    <reviewItem>
      <errorID>4a0dce58-69d9-4e1e-b1bb-26fae9b18613</errorID>
      <errorWord>-</errorWord>
      <group>L1_Format</group>
      <groupName>格式问题</groupName>
      <ability>L2_HalfPunc</ability>
      <abilityName>全半角检查</abilityName>
      <candidateList>
        <item>－</item>
      </candidateList>
      <explain>文本全半角错误。</explain>
      <paraID>724CA9DC</paraID>
      <start>1</start>
      <end>2</end>
      <status>modified</status>
      <modifiedWord>－</modifiedWord>
      <trackRevisions>false</trackRevisions>
    </reviewItem>
    <reviewItem>
      <errorID>3f6a6aee-97ac-49c9-8f3e-f0ed63b5fba7</errorID>
      <errorWord>-</errorWord>
      <group>L1_Format</group>
      <groupName>格式问题</groupName>
      <ability>L2_HalfPunc</ability>
      <abilityName>全半角检查</abilityName>
      <candidateList>
        <item>－</item>
      </candidateList>
      <explain>文本全半角错误。</explain>
      <paraID> 21D3FE8</paraID>
      <start>1</start>
      <end>2</end>
      <status>modified</status>
      <modifiedWord>－</modifiedWord>
      <trackRevisions>false</trackRevisions>
    </reviewItem>
    <reviewItem>
      <errorID>d28922d4-9755-4c65-85a5-66d583c487ef</errorID>
      <errorWord>、</errorWord>
      <group>L1_Punc</group>
      <groupName>标点问题</groupName>
      <ability>L2_Punc</ability>
      <abilityName>标点符号检查</abilityName>
      <candidateList>
        <item>.</item>
      </candidateList>
      <explain/>
      <paraID>7AE55F09</paraID>
      <start>1</start>
      <end>2</end>
      <status>modified</status>
      <modifiedWord>.</modifiedWord>
      <trackRevisions>false</trackRevisions>
    </reviewItem>
    <reviewItem>
      <errorID>0b1507b4-ed7b-40c5-b3c9-9dd7d51c11ca</errorID>
      <errorWord>-</errorWord>
      <group>L1_Format</group>
      <groupName>格式问题</groupName>
      <ability>L2_HalfPunc</ability>
      <abilityName>全半角检查</abilityName>
      <candidateList>
        <item>－</item>
      </candidateList>
      <explain>文本全半角错误。</explain>
      <paraID>47F691FF</paraID>
      <start>17</start>
      <end>18</end>
      <status>modified</status>
      <modifiedWord>－</modifiedWord>
      <trackRevisions>false</trackRevisions>
    </reviewItem>
    <reviewItem>
      <errorID>5e4d9f51-97d2-463e-99dc-9ccfaed95856</errorID>
      <errorWord>-</errorWord>
      <group>L1_Format</group>
      <groupName>格式问题</groupName>
      <ability>L2_HalfPunc</ability>
      <abilityName>全半角检查</abilityName>
      <candidateList>
        <item>－</item>
      </candidateList>
      <explain>文本全半角错误。</explain>
      <paraID>594BB528</paraID>
      <start>17</start>
      <end>18</end>
      <status>modified</status>
      <modifiedWord>－</modifiedWord>
      <trackRevisions>false</trackRevisions>
    </reviewItem>
    <reviewItem>
      <errorID>36240b0c-7fb4-4bfb-ab7c-8594c05b3055</errorID>
      <errorWord>-</errorWord>
      <group>L1_Format</group>
      <groupName>格式问题</groupName>
      <ability>L2_HalfPunc</ability>
      <abilityName>全半角检查</abilityName>
      <candidateList>
        <item>－</item>
      </candidateList>
      <explain>文本全半角错误。</explain>
      <paraID>4871B159</paraID>
      <start>6</start>
      <end>7</end>
      <status>modified</status>
      <modifiedWord>－</modifiedWord>
      <trackRevisions>false</trackRevisions>
    </reviewItem>
    <reviewItem>
      <errorID>ee279c3f-5a35-4a89-93ae-28ba01a66506</errorID>
      <errorWord>、</errorWord>
      <group>L1_Punc</group>
      <groupName>标点问题</groupName>
      <ability>L2_Punc</ability>
      <abilityName>标点符号检查</abilityName>
      <candidateList>
        <item>.</item>
      </candidateList>
      <explain/>
      <paraID>4CAD79CD</paraID>
      <start>1</start>
      <end>2</end>
      <status>modified</status>
      <modifiedWord>.</modifiedWord>
      <trackRevisions>false</trackRevisions>
    </reviewItem>
    <reviewItem>
      <errorID>de9a2647-72cd-4a32-9ab7-eabb98b87674</errorID>
      <errorWord>-</errorWord>
      <group>L1_Format</group>
      <groupName>格式问题</groupName>
      <ability>L2_HalfPunc</ability>
      <abilityName>全半角检查</abilityName>
      <candidateList>
        <item>－</item>
      </candidateList>
      <explain>文本全半角错误。</explain>
      <paraID>7CE8B356</paraID>
      <start>17</start>
      <end>18</end>
      <status>modified</status>
      <modifiedWord>－</modifiedWord>
      <trackRevisions>false</trackRevisions>
    </reviewItem>
    <reviewItem>
      <errorID>6fcc38ed-4742-485d-b494-9c1cc37927a7</errorID>
      <errorWord>-</errorWord>
      <group>L1_Format</group>
      <groupName>格式问题</groupName>
      <ability>L2_HalfPunc</ability>
      <abilityName>全半角检查</abilityName>
      <candidateList>
        <item>－</item>
      </candidateList>
      <explain>文本全半角错误。</explain>
      <paraID> 634F457</paraID>
      <start>19</start>
      <end>20</end>
      <status>modified</status>
      <modifiedWord>－</modifiedWord>
      <trackRevisions>false</trackRevisions>
    </reviewItem>
    <reviewItem>
      <errorID>0c704341-bc6a-41ab-855c-919b799f454e</errorID>
      <errorWord>-</errorWord>
      <group>L1_Format</group>
      <groupName>格式问题</groupName>
      <ability>L2_HalfPunc</ability>
      <abilityName>全半角检查</abilityName>
      <candidateList>
        <item>－</item>
      </candidateList>
      <explain>文本全半角错误。</explain>
      <paraID>388E5817</paraID>
      <start>9</start>
      <end>10</end>
      <status>modified</status>
      <modifiedWord>－</modifiedWord>
      <trackRevisions>false</trackRevisions>
    </reviewItem>
    <reviewItem>
      <errorID>1568e528-a519-4a8e-a777-6dd1c3b511c5</errorID>
      <errorWord>、</errorWord>
      <group>L1_Punc</group>
      <groupName>标点问题</groupName>
      <ability>L2_Punc</ability>
      <abilityName>标点符号检查</abilityName>
      <candidateList>
        <item>.</item>
      </candidateList>
      <explain/>
      <paraID>47D643D2</paraID>
      <start>1</start>
      <end>2</end>
      <status>modified</status>
      <modifiedWord>.</modifiedWord>
      <trackRevisions>false</trackRevisions>
    </reviewItem>
    <reviewItem>
      <errorID>94daf434-f429-42f2-853a-5a5a5318db8f</errorID>
      <errorWord>-</errorWord>
      <group>L1_Format</group>
      <groupName>格式问题</groupName>
      <ability>L2_HalfPunc</ability>
      <abilityName>全半角检查</abilityName>
      <candidateList>
        <item>－</item>
      </candidateList>
      <explain>文本全半角错误。</explain>
      <paraID>1F5C0F91</paraID>
      <start>12</start>
      <end>13</end>
      <status>modified</status>
      <modifiedWord>－</modifiedWord>
      <trackRevisions>false</trackRevisions>
    </reviewItem>
    <reviewItem>
      <errorID>6621db4a-8663-4cae-92a7-f80a91861847</errorID>
      <errorWord>-</errorWord>
      <group>L1_Format</group>
      <groupName>格式问题</groupName>
      <ability>L2_HalfPunc</ability>
      <abilityName>全半角检查</abilityName>
      <candidateList>
        <item>－</item>
      </candidateList>
      <explain>文本全半角错误。</explain>
      <paraID>29CDFBAE</paraID>
      <start>2</start>
      <end>3</end>
      <status>modified</status>
      <modifiedWord>－</modifiedWord>
      <trackRevisions>false</trackRevisions>
    </reviewItem>
    <reviewItem>
      <errorID>a72187cd-9760-4ff2-89c7-88d72806f5b4</errorID>
      <errorWord>-</errorWord>
      <group>L1_Format</group>
      <groupName>格式问题</groupName>
      <ability>L2_HalfPunc</ability>
      <abilityName>全半角检查</abilityName>
      <candidateList>
        <item>－</item>
      </candidateList>
      <explain>文本全半角错误。</explain>
      <paraID>4F388F10</paraID>
      <start>14</start>
      <end>15</end>
      <status>modified</status>
      <modifiedWord>－</modifiedWord>
      <trackRevisions>false</trackRevisions>
    </reviewItem>
    <reviewItem>
      <errorID>9c23d88a-a01c-4b39-9e3f-80fd209b0254</errorID>
      <errorWord>-</errorWord>
      <group>L1_Format</group>
      <groupName>格式问题</groupName>
      <ability>L2_HalfPunc</ability>
      <abilityName>全半角检查</abilityName>
      <candidateList>
        <item>－</item>
      </candidateList>
      <explain>文本全半角错误。</explain>
      <paraID>47D54B9A</paraID>
      <start>2</start>
      <end>3</end>
      <status>modified</status>
      <modifiedWord>－</modifiedWord>
      <trackRevisions>false</trackRevisions>
    </reviewItem>
    <reviewItem>
      <errorID>9055786e-4bec-4c4a-9557-23bf2ae39c10</errorID>
      <errorWord>-</errorWord>
      <group>L1_Format</group>
      <groupName>格式问题</groupName>
      <ability>L2_HalfPunc</ability>
      <abilityName>全半角检查</abilityName>
      <candidateList>
        <item>－</item>
      </candidateList>
      <explain>文本全半角错误。</explain>
      <paraID>5CC23746</paraID>
      <start>2</start>
      <end>3</end>
      <status>modified</status>
      <modifiedWord>－</modifiedWord>
      <trackRevisions>false</trackRevisions>
    </reviewItem>
    <reviewItem>
      <errorID>c856a8e6-6cb2-4886-b62c-e54948ab0814</errorID>
      <errorWord>-</errorWord>
      <group>L1_Format</group>
      <groupName>格式问题</groupName>
      <ability>L2_HalfPunc</ability>
      <abilityName>全半角检查</abilityName>
      <candidateList>
        <item>－</item>
      </candidateList>
      <explain>文本全半角错误。</explain>
      <paraID>21CF5A97</paraID>
      <start>7</start>
      <end>8</end>
      <status>modified</status>
      <modifiedWord>－</modifiedWord>
      <trackRevisions>false</trackRevisions>
    </reviewItem>
    <reviewItem>
      <errorID>ef65980c-1910-4c47-9b05-f506359025a4</errorID>
      <errorWord>-</errorWord>
      <group>L1_Format</group>
      <groupName>格式问题</groupName>
      <ability>L2_HalfPunc</ability>
      <abilityName>全半角检查</abilityName>
      <candidateList>
        <item>－</item>
      </candidateList>
      <explain>文本全半角错误。</explain>
      <paraID>2AD30462</paraID>
      <start>2</start>
      <end>3</end>
      <status>modified</status>
      <modifiedWord>－</modifiedWord>
      <trackRevisions>false</trackRevisions>
    </reviewItem>
    <reviewItem>
      <errorID>b3d9b4fd-98ff-4162-88ae-841c24756f18</errorID>
      <errorWord>-</errorWord>
      <group>L1_Format</group>
      <groupName>格式问题</groupName>
      <ability>L2_HalfPunc</ability>
      <abilityName>全半角检查</abilityName>
      <candidateList>
        <item>－</item>
      </candidateList>
      <explain>文本全半角错误。</explain>
      <paraID>7C5BFFE9</paraID>
      <start>7</start>
      <end>8</end>
      <status>modified</status>
      <modifiedWord>－</modifiedWord>
      <trackRevisions>false</trackRevisions>
    </reviewItem>
    <reviewItem>
      <errorID>5d01a202-63a4-4c34-8350-f524d2c0388f</errorID>
      <errorWord>（</errorWord>
      <group>L1_Format</group>
      <groupName>格式问题</groupName>
      <ability>L2_HalfPunc</ability>
      <abilityName>全半角检查</abilityName>
      <candidateList>
        <item>(</item>
      </candidateList>
      <explain>文本全半角错误。</explain>
      <paraID>19844558</paraID>
      <start>3</start>
      <end>4</end>
      <status>modified</status>
      <modifiedWord>(</modifiedWord>
      <trackRevisions>false</trackRevisions>
    </reviewItem>
    <reviewItem>
      <errorID>02dcc2e3-0af2-4448-8e49-3ece950894ed</errorID>
      <errorWord>）</errorWord>
      <group>L1_Format</group>
      <groupName>格式问题</groupName>
      <ability>L2_HalfPunc</ability>
      <abilityName>全半角检查</abilityName>
      <candidateList>
        <item>)</item>
      </candidateList>
      <explain>文本全半角错误。</explain>
      <paraID>19844558</paraID>
      <start>5</start>
      <end>6</end>
      <status>modified</status>
      <modifiedWord>)</modifiedWord>
      <trackRevisions>false</trackRevisions>
    </reviewItem>
    <reviewItem>
      <errorID>c7ce6bbd-f6ae-428f-b25e-7127508b0a66</errorID>
      <errorWord>（</errorWord>
      <group>L1_Format</group>
      <groupName>格式问题</groupName>
      <ability>L2_HalfPunc</ability>
      <abilityName>全半角检查</abilityName>
      <candidateList>
        <item>(</item>
      </candidateList>
      <explain>文本全半角错误。</explain>
      <paraID>546BA12F</paraID>
      <start>3</start>
      <end>4</end>
      <status>modified</status>
      <modifiedWord>(</modifiedWord>
      <trackRevisions>false</trackRevisions>
    </reviewItem>
    <reviewItem>
      <errorID>ab172630-0e5f-4b43-a316-62106beb3caf</errorID>
      <errorWord>）</errorWord>
      <group>L1_Format</group>
      <groupName>格式问题</groupName>
      <ability>L2_HalfPunc</ability>
      <abilityName>全半角检查</abilityName>
      <candidateList>
        <item>)</item>
      </candidateList>
      <explain>文本全半角错误。</explain>
      <paraID>546BA12F</paraID>
      <start>5</start>
      <end>6</end>
      <status>modified</status>
      <modifiedWord>)</modifiedWord>
      <trackRevisions>false</trackRevisions>
    </reviewItem>
    <reviewItem>
      <errorID>1f0dd68b-3f5b-4da8-bdb2-c5d4dda38d5f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3C22596F</paraID>
      <start>0</start>
      <end>2</end>
      <status>ignored</status>
      <modifiedWord/>
      <trackRevisions>false</trackRevisions>
    </reviewItem>
    <reviewItem>
      <errorID>8df5b2d7-77a4-4dfd-9728-b90760b30fe1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946A9DD</paraID>
      <start>0</start>
      <end>2</end>
      <status>ignored</status>
      <modifiedWord/>
      <trackRevisions>false</trackRevisions>
    </reviewItem>
    <reviewItem>
      <errorID>5546c8bc-02ad-4b4b-83e3-7eed4239c0cf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4F8E60A6</paraID>
      <start>0</start>
      <end>2</end>
      <status>ignored</status>
      <modifiedWord/>
      <trackRevisions>false</trackRevisions>
    </reviewItem>
    <reviewItem>
      <errorID>b1e622f9-da19-480c-b46a-a1076528df9e</errorID>
      <errorWord>固废物</errorWord>
      <group>L1_Word</group>
      <groupName>字词问题</groupName>
      <ability>L2_Typo</ability>
      <abilityName>字词错误</abilityName>
      <candidateList>
        <item>固体废物</item>
      </candidateList>
      <explain/>
      <paraID>5AA4EB14</paraID>
      <start>9</start>
      <end>13</end>
      <status>modified</status>
      <modifiedWord>固体废物</modifiedWord>
      <trackRevisions>false</trackRevisions>
    </reviewItem>
    <reviewItem>
      <errorID>0e5f0545-3dc4-471d-9dc6-f66ca1d01394</errorID>
      <errorWord>企业原</errorWord>
      <group>L1_Word</group>
      <groupName>字词问题</groupName>
      <ability>L2_Typo</ability>
      <abilityName>字词错误</abilityName>
      <candidateList>
        <item>企业</item>
      </candidateList>
      <explain>〈名〉从事生产、运输、贸易等经济活动的部门，如工厂、矿山、铁路、公司等。</explain>
      <paraID>61750E90</paraID>
      <start>20</start>
      <end>22</end>
      <status>modified</status>
      <modifiedWord>企业</modifiedWord>
      <trackRevisions>false</trackRevisions>
    </reviewItem>
    <reviewItem>
      <errorID>8d32bd88-1b35-41ee-be54-00436c562e1d</errorID>
      <errorWord>（</errorWord>
      <group>L1_Format</group>
      <groupName>格式问题</groupName>
      <ability>L2_HalfPunc</ability>
      <abilityName>全半角检查</abilityName>
      <candidateList>
        <item>(</item>
      </candidateList>
      <explain>文本全半角错误。</explain>
      <paraID>5D94E616</paraID>
      <start>0</start>
      <end>1</end>
      <status>modified</status>
      <modifiedWord>(</modifiedWord>
      <trackRevisions>false</trackRevisions>
    </reviewItem>
    <reviewItem>
      <errorID>3794a23b-d5e3-4d11-894a-c1391b058adc</errorID>
      <errorWord>）</errorWord>
      <group>L1_Format</group>
      <groupName>格式问题</groupName>
      <ability>L2_HalfPunc</ability>
      <abilityName>全半角检查</abilityName>
      <candidateList>
        <item>)</item>
      </candidateList>
      <explain>文本全半角错误。</explain>
      <paraID>5D94E616</paraID>
      <start>4</start>
      <end>5</end>
      <status>modified</status>
      <modifiedWord>)</modifiedWord>
      <trackRevisions>false</trackRevisions>
    </reviewItem>
    <reviewItem>
      <errorID>137d7450-a350-4ed0-98fb-7b03a4d8847f</errorID>
      <errorWord>-</errorWord>
      <group>L1_Format</group>
      <groupName>格式问题</groupName>
      <ability>L2_HalfPunc</ability>
      <abilityName>全半角检查</abilityName>
      <candidateList>
        <item>－</item>
      </candidateList>
      <explain>文本全半角错误。</explain>
      <paraID>1A89EC49</paraID>
      <start>4</start>
      <end>5</end>
      <status>modified</status>
      <modifiedWord>－</modifiedWord>
      <trackRevisions>false</trackRevisions>
    </reviewItem>
    <reviewItem>
      <errorID>4cde67a9-aa73-4a1d-b031-3436715f011d</errorID>
      <errorWord>-</errorWord>
      <group>L1_Format</group>
      <groupName>格式问题</groupName>
      <ability>L2_HalfPunc</ability>
      <abilityName>全半角检查</abilityName>
      <candidateList>
        <item>－</item>
      </candidateList>
      <explain>文本全半角错误。</explain>
      <paraID>383A59C7</paraID>
      <start>1</start>
      <end>2</end>
      <status>modified</status>
      <modifiedWord>－</modifiedWord>
      <trackRevisions>false</trackRevisions>
    </reviewItem>
    <reviewItem>
      <errorID>1a83cbda-fc54-498d-8cfa-17e09cdf3499</errorID>
      <errorWord>-</errorWord>
      <group>L1_Format</group>
      <groupName>格式问题</groupName>
      <ability>L2_HalfPunc</ability>
      <abilityName>全半角检查</abilityName>
      <candidateList>
        <item>－</item>
      </candidateList>
      <explain>文本全半角错误。</explain>
      <paraID>3192F60B</paraID>
      <start>1</start>
      <end>2</end>
      <status>modified</status>
      <modifiedWord>－</modifiedWord>
      <trackRevisions>false</trackRevisions>
    </reviewItem>
    <reviewItem>
      <errorID>d1b887ee-d97c-4a7a-8089-00a0813dcb17</errorID>
      <errorWord>、</errorWord>
      <group>L1_Punc</group>
      <groupName>标点问题</groupName>
      <ability>L2_Punc</ability>
      <abilityName>标点符号检查</abilityName>
      <candidateList>
        <item>.</item>
      </candidateList>
      <explain/>
      <paraID>518083A1</paraID>
      <start>1</start>
      <end>2</end>
      <status>modified</status>
      <modifiedWord>.</modifiedWord>
      <trackRevisions>false</trackRevisions>
    </reviewItem>
    <reviewItem>
      <errorID>215c5ec3-f40b-4ffc-aca8-74316a3f6fa0</errorID>
      <errorWord>、</errorWord>
      <group>L1_Punc</group>
      <groupName>标点问题</groupName>
      <ability>L2_Punc</ability>
      <abilityName>标点符号检查</abilityName>
      <candidateList>
        <item>.</item>
      </candidateList>
      <explain/>
      <paraID>4A468ABC</paraID>
      <start>1</start>
      <end>2</end>
      <status>modified</status>
      <modifiedWord>.</modifiedWord>
      <trackRevisions>false</trackRevisions>
    </reviewItem>
    <reviewItem>
      <errorID>4518e033-44ed-46cb-aeed-f7ae8edb7638</errorID>
      <errorWord>、</errorWord>
      <group>L1_Punc</group>
      <groupName>标点问题</groupName>
      <ability>L2_Punc</ability>
      <abilityName>标点符号检查</abilityName>
      <candidateList>
        <item>.</item>
      </candidateList>
      <explain/>
      <paraID> F452092</paraID>
      <start>1</start>
      <end>2</end>
      <status>modified</status>
      <modifiedWord>.</modifiedWord>
      <trackRevisions>false</trackRevisions>
    </reviewItem>
    <reviewItem>
      <errorID>0f71c3a7-c4f4-406b-ba45-110dba76dd72</errorID>
      <errorWord>、</errorWord>
      <group>L1_Punc</group>
      <groupName>标点问题</groupName>
      <ability>L2_Punc</ability>
      <abilityName>标点符号检查</abilityName>
      <candidateList>
        <item>.</item>
      </candidateList>
      <explain/>
      <paraID>69FF4572</paraID>
      <start>1</start>
      <end>2</end>
      <status>modified</status>
      <modifiedWord>.</modifiedWord>
      <trackRevisions>false</trackRevisions>
    </reviewItem>
    <reviewItem>
      <errorID>0d8d22ef-9387-4e60-b0eb-24b42d681854</errorID>
      <errorWord>、</errorWord>
      <group>L1_Punc</group>
      <groupName>标点问题</groupName>
      <ability>L2_Punc</ability>
      <abilityName>标点符号检查</abilityName>
      <candidateList>
        <item>.</item>
      </candidateList>
      <explain/>
      <paraID> 1182067</paraID>
      <start>1</start>
      <end>2</end>
      <status>modified</status>
      <modifiedWord>.</modifiedWord>
      <trackRevisions>false</trackRevisions>
    </reviewItem>
    <reviewItem>
      <errorID>24f70b02-397a-4ddf-8561-7612315f1941</errorID>
      <errorWord>、</errorWord>
      <group>L1_Punc</group>
      <groupName>标点问题</groupName>
      <ability>L2_Punc</ability>
      <abilityName>标点符号检查</abilityName>
      <candidateList>
        <item>.</item>
      </candidateList>
      <explain/>
      <paraID> AE8D037</paraID>
      <start>1</start>
      <end>2</end>
      <status>modified</status>
      <modifiedWord>.</modifiedWord>
      <trackRevisions>false</trackRevisions>
    </reviewItem>
    <reviewItem>
      <errorID>5d40dec9-6ce2-4cd4-96ff-9478c4942f9e</errorID>
      <errorWord>、</errorWord>
      <group>L1_Punc</group>
      <groupName>标点问题</groupName>
      <ability>L2_Punc</ability>
      <abilityName>标点符号检查</abilityName>
      <candidateList>
        <item>.</item>
      </candidateList>
      <explain/>
      <paraID>20888A3A</paraID>
      <start>1</start>
      <end>2</end>
      <status>modified</status>
      <modifiedWord>.</modifiedWord>
      <trackRevisions>false</trackRevisions>
    </reviewItem>
    <reviewItem>
      <errorID>2f1e22d7-c9b8-48b7-966e-dcc7427b85d5</errorID>
      <errorWord>成份</errorWord>
      <group>L1_Word</group>
      <groupName>字词问题</groupName>
      <ability>L2_Variant</ability>
      <abilityName>异形词</abilityName>
      <candidateList>
        <item>成分</item>
      </candidateList>
      <explain>词汇[成份]的规范词形写作[成分]。</explain>
      <paraID>20888A3A</paraID>
      <start>18</start>
      <end>20</end>
      <status>modified</status>
      <modifiedWord>成分</modifiedWord>
      <trackRevisions>false</trackRevisions>
    </reviewItem>
    <reviewItem>
      <errorID>2a4388cd-9f34-4514-90e2-7490b8fd5844</errorID>
      <errorWord>、</errorWord>
      <group>L1_Punc</group>
      <groupName>标点问题</groupName>
      <ability>L2_Punc</ability>
      <abilityName>标点符号检查</abilityName>
      <candidateList>
        <item>.</item>
      </candidateList>
      <explain/>
      <paraID>312B880C</paraID>
      <start>1</start>
      <end>2</end>
      <status>modified</status>
      <modifiedWord>.</modifiedWord>
      <trackRevisions>false</trackRevisions>
    </reviewItem>
    <reviewItem>
      <errorID>d49c5c40-af75-4d79-a80c-751aa72f324c</errorID>
      <errorWord>、</errorWord>
      <group>L1_Punc</group>
      <groupName>标点问题</groupName>
      <ability>L2_Punc</ability>
      <abilityName>标点符号检查</abilityName>
      <candidateList>
        <item>.</item>
      </candidateList>
      <explain/>
      <paraID>6E0EF7F1</paraID>
      <start>1</start>
      <end>2</end>
      <status>modified</status>
      <modifiedWord>.</modifiedWord>
      <trackRevisions>false</trackRevisions>
    </reviewItem>
    <reviewItem>
      <errorID>cc88eac4-a1aa-456c-a8a9-8a0f8fb42644</errorID>
      <errorWord>表面并</errorWord>
      <group>L1_Word</group>
      <groupName>字词问题</groupName>
      <ability>L2_Typo</ability>
      <abilityName>字词错误</abilityName>
      <candidateList>
        <item>表面</item>
      </candidateList>
      <explain/>
      <paraID>6E0EF7F1</paraID>
      <start>17</start>
      <end>19</end>
      <status>modified</status>
      <modifiedWord>表面</modifiedWord>
      <trackRevisions>false</trackRevisions>
    </reviewItem>
    <reviewItem>
      <errorID>728b2f14-5946-4f2c-b975-bf043a85ea0e</errorID>
      <errorWord>、</errorWord>
      <group>L1_Punc</group>
      <groupName>标点问题</groupName>
      <ability>L2_Punc</ability>
      <abilityName>标点符号检查</abilityName>
      <candidateList>
        <item>.</item>
      </candidateList>
      <explain/>
      <paraID>4F4AD29C</paraID>
      <start>1</start>
      <end>2</end>
      <status>modified</status>
      <modifiedWord>.</modifiedWord>
      <trackRevisions>false</trackRevisions>
    </reviewItem>
    <reviewItem>
      <errorID>1ce223ce-39d7-404a-b700-737faef118de</errorID>
      <errorWord>、</errorWord>
      <group>L1_Punc</group>
      <groupName>标点问题</groupName>
      <ability>L2_Punc</ability>
      <abilityName>标点符号检查</abilityName>
      <candidateList>
        <item>.</item>
      </candidateList>
      <explain/>
      <paraID> 47E8078</paraID>
      <start>1</start>
      <end>2</end>
      <status>modified</status>
      <modifiedWord>.</modifiedWord>
      <trackRevisions>false</trackRevisions>
    </reviewItem>
    <reviewItem>
      <errorID>ff1f914c-7732-4933-8092-46aebe26b7a4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3C4CE733</paraID>
      <start>7</start>
      <end>8</end>
      <status>modified</status>
      <modifiedWord>—</modifiedWord>
      <trackRevisions>false</trackRevisions>
    </reviewItem>
    <reviewItem>
      <errorID>ab0da8af-9f60-495f-bbaf-c73533da61fa</errorID>
      <errorWord>已基丙烯酸酯</errorWord>
      <group>L1_Knowledge</group>
      <groupName>知识性问题</groupName>
      <ability>L2_Term</ability>
      <abilityName>专业术语</abilityName>
      <candidateList>
        <item>氰基丙烯酸酯</item>
      </candidateList>
      <explain/>
      <paraID>3C7B35FB</paraID>
      <start>188</start>
      <end>194</end>
      <status>ignored</status>
      <modifiedWord/>
      <trackRevisions>false</trackRevisions>
    </reviewItem>
    <reviewItem>
      <errorID>43c595e4-801f-48f1-8a6a-fa272770787c</errorID>
      <errorWord>已</errorWord>
      <group>L1_Word</group>
      <groupName>字词问题</groupName>
      <ability>L2_Typo</ability>
      <abilityName>字词错误</abilityName>
      <candidateList>
        <item>己</item>
      </candidateList>
      <explain>存在字形相近字词的误用。</explain>
      <paraID>7E7EA59B</paraID>
      <start>3</start>
      <end>4</end>
      <status>modified</status>
      <modifiedWord>己</modifiedWord>
      <trackRevisions>false</trackRevisions>
    </reviewItem>
    <reviewItem>
      <errorID>43d060e0-983f-4caf-8547-2273ac3e7787</errorID>
      <errorWord>，…，</errorWord>
      <group>L1_Punc</group>
      <groupName>标点问题</groupName>
      <ability>L2_Punc</ability>
      <abilityName>标点符号检查</abilityName>
      <candidateList>
        <item>，</item>
      </candidateList>
      <explain/>
      <paraID>1D534BC1</paraID>
      <start>8</start>
      <end>9</end>
      <status>modified</status>
      <modifiedWord>，</modifiedWord>
      <trackRevisions>false</trackRevisions>
    </reviewItem>
    <reviewItem>
      <errorID>be263cd1-6ae0-46a6-8db5-26e48b903fd5</errorID>
      <errorWord>，…，</errorWord>
      <group>L1_Punc</group>
      <groupName>标点问题</groupName>
      <ability>L2_Punc</ability>
      <abilityName>标点符号检查</abilityName>
      <candidateList>
        <item>，</item>
      </candidateList>
      <explain/>
      <paraID>1F8DDE5E</paraID>
      <start>5</start>
      <end>6</end>
      <status>modified</status>
      <modifiedWord>，</modifiedWord>
      <trackRevisions>false</trackRevisions>
    </reviewItem>
    <reviewItem>
      <errorID>85438451-fb86-4f5f-9e8b-ce7744ed4d77</errorID>
      <errorWord>已</errorWord>
      <group>L1_Word</group>
      <groupName>字词问题</groupName>
      <ability>L2_Typo</ability>
      <abilityName>字词错误</abilityName>
      <candidateList>
        <item>己</item>
      </candidateList>
      <explain>存在字形相近字词的误用。</explain>
      <paraID>70B2A2C6</paraID>
      <start>3</start>
      <end>4</end>
      <status>modified</status>
      <modifiedWord>己</modifiedWord>
      <trackRevisions>false</trackRevisions>
    </reviewItem>
    <reviewItem>
      <errorID>35aa8e3d-59b3-4fe8-92ce-45821d3e772f</errorID>
      <errorWord>程</errorWord>
      <group>L1_Word</group>
      <groupName>字词问题</groupName>
      <ability>L2_Typo</ability>
      <abilityName>字词错误</abilityName>
      <candidateList>
        <item>程中</item>
      </candidateList>
      <explain/>
      <paraID>5DDF93C4</paraID>
      <start>3</start>
      <end>5</end>
      <status>modified</status>
      <modifiedWord>程中</modifiedWord>
      <trackRevisions>false</trackRevisions>
    </reviewItem>
    <reviewItem>
      <errorID>40355a49-aa43-4fd5-af9a-eb970e14a5d5</errorID>
      <errorWord>设</errorWord>
      <group>L1_Word</group>
      <groupName>字词问题</groupName>
      <ability>L2_Typo</ability>
      <abilityName>字词错误</abilityName>
      <candidateList>
        <item>设置</item>
      </candidateList>
      <explain>〈动〉❶设立：这座剧院是为儿童～的。❷安放；安装：～障碍。</explain>
      <paraID>5DDF93C4</paraID>
      <start>82</start>
      <end>84</end>
      <status>modified</status>
      <modifiedWord>设置</modifiedWord>
      <trackRevisions>false</trackRevisions>
    </reviewItem>
    <reviewItem>
      <errorID>d367a955-110a-4d5b-9d30-32f4675b7d7a</errorID>
      <errorWord>固态</errorWord>
      <group>L1_Word</group>
      <groupName>字词问题</groupName>
      <ability>L2_Typo</ability>
      <abilityName>字词错误</abilityName>
      <candidateList>
        <item>固体</item>
      </candidateList>
      <explain/>
      <paraID>5DDF93C4</paraID>
      <start>134</start>
      <end>136</end>
      <status>modified</status>
      <modifiedWord>固体</modifiedWord>
      <trackRevisions>false</trackRevisions>
    </reviewItem>
    <reviewItem>
      <errorID>3fa929ba-2bdf-4947-abda-9e45c7881af1</errorID>
      <errorWord>火</errorWord>
      <group>L1_Word</group>
      <groupName>字词问题</groupName>
      <ability>L2_Typo</ability>
      <abilityName>字词错误</abilityName>
      <candidateList>
        <item>火灾</item>
      </candidateList>
      <explain/>
      <paraID>592FC303</paraID>
      <start>57</start>
      <end>59</end>
      <status>modified</status>
      <modifiedWord>火灾</modifiedWord>
      <trackRevisions>false</trackRevisions>
    </reviewItem>
    <reviewItem>
      <errorID>20e3f6ba-1125-44cf-b370-81c647fc617a</errorID>
      <errorWord>防防</errorWord>
      <group>L1_Word</group>
      <groupName>字词问题</groupName>
      <ability>L2_Typo</ability>
      <abilityName>字词错误</abilityName>
      <candidateList>
        <item>防</item>
      </candidateList>
      <explain/>
      <paraID>533A2384</paraID>
      <start>43</start>
      <end>44</end>
      <status>modified</status>
      <modifiedWord>防</modifiedWord>
      <trackRevisions>false</trackRevisions>
    </reviewItem>
    <reviewItem>
      <errorID>18b9600f-3858-40e9-8761-5a39c0fd4b2e</errorID>
      <errorWord>防渗处理</errorWord>
      <group>L1_Knowledge</group>
      <groupName>知识性问题</groupName>
      <ability>L2_Term</ability>
      <abilityName>专业术语</abilityName>
      <candidateList>
        <item>防蚀处理</item>
      </candidateList>
      <explain/>
      <paraID>533A2384</paraID>
      <start>45</start>
      <end>49</end>
      <status>ignored</status>
      <modifiedWord/>
      <trackRevisions>false</trackRevisions>
    </reviewItem>
    <reviewItem>
      <errorID>82df5391-a2bf-4366-b2b0-07654ad0ac42</errorID>
      <errorWord>使用</errorWord>
      <group>L1_Word</group>
      <groupName>字词问题</groupName>
      <ability>L2_Typo</ability>
      <abilityName>字词错误</abilityName>
      <candidateList>
        <item>采取</item>
      </candidateList>
      <explain>“使用～措施”搭配不当，建议修改为“采取～措施”。</explain>
      <paraID>34A4D710</paraID>
      <start>13</start>
      <end>15</end>
      <status>ignored</status>
      <modifiedWord/>
      <trackRevisions>false</trackRevisions>
    </reviewItem>
    <reviewItem>
      <errorID>f0066410-40cb-404a-a6eb-0a77d4b0585e</errorID>
      <errorWord>防渗处理</errorWord>
      <group>L1_Knowledge</group>
      <groupName>知识性问题</groupName>
      <ability>L2_Term</ability>
      <abilityName>专业术语</abilityName>
      <candidateList>
        <item>防蚀处理</item>
      </candidateList>
      <explain/>
      <paraID>43CAF206</paraID>
      <start>35</start>
      <end>39</end>
      <status>ignored</status>
      <modifiedWord/>
      <trackRevisions>false</trackRevisions>
    </reviewItem>
    <reviewItem>
      <errorID>cdc20c01-462b-434c-92a1-2f918b042a18</errorID>
      <errorWord>警戒</errorWord>
      <group>L1_Word</group>
      <groupName>字词问题</groupName>
      <ability>L2_Typo</ability>
      <abilityName>字词错误</abilityName>
      <candidateList>
        <item>警示</item>
      </candidateList>
      <explain/>
      <paraID>24657988</paraID>
      <start>15</start>
      <end>17</end>
      <status>modified</status>
      <modifiedWord>警示</modifiedWord>
      <trackRevisions>false</trackRevisions>
    </reviewItem>
    <reviewItem>
      <errorID>b0f57ea0-9614-465d-ba1e-7789408bd2f1</errorID>
      <errorWord>（</errorWord>
      <group>L1_Punc</group>
      <groupName>标点问题</groupName>
      <ability>L2_Punc</ability>
      <abilityName>标点符号检查</abilityName>
      <candidateList/>
      <explain>同一形式括号套用。</explain>
      <paraID>70113744</paraID>
      <start>46</start>
      <end>47</end>
      <status>ignored</status>
      <modifiedWord/>
      <trackRevisions>false</trackRevisions>
    </reviewItem>
    <reviewItem>
      <errorID>5c9063ba-196e-48b8-b3fb-8e06ab3ab7f2</errorID>
      <errorWord>）</errorWord>
      <group>L1_Punc</group>
      <groupName>标点问题</groupName>
      <ability>L2_Punc</ability>
      <abilityName>标点符号检查</abilityName>
      <candidateList/>
      <explain>同一形式括号套用。</explain>
      <paraID>70113744</paraID>
      <start>48</start>
      <end>49</end>
      <status>ignored</status>
      <modifiedWord/>
      <trackRevisions>false</trackRevisions>
    </reviewItem>
    <reviewItem>
      <errorID>6c0563dc-03fb-4c44-a431-053b98da9266</errorID>
      <errorWord>（</errorWord>
      <group>L1_Punc</group>
      <groupName>标点问题</groupName>
      <ability>L2_Punc</ability>
      <abilityName>标点符号检查</abilityName>
      <candidateList/>
      <explain>同一形式括号套用。</explain>
      <paraID>70113744</paraID>
      <start>59</start>
      <end>60</end>
      <status>ignored</status>
      <modifiedWord/>
      <trackRevisions>false</trackRevisions>
    </reviewItem>
    <reviewItem>
      <errorID>baab8f9c-287f-49f6-8c14-68e016d6e2b0</errorID>
      <errorWord>）</errorWord>
      <group>L1_Punc</group>
      <groupName>标点问题</groupName>
      <ability>L2_Punc</ability>
      <abilityName>标点符号检查</abilityName>
      <candidateList/>
      <explain>同一形式括号套用。</explain>
      <paraID>70113744</paraID>
      <start>61</start>
      <end>62</end>
      <status>ignored</status>
      <modifiedWord/>
      <trackRevisions>false</trackRevisions>
    </reviewItem>
    <reviewItem>
      <errorID>7ed898f5-4c7f-4b86-8df0-9a352ad7cde1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3DC3610</paraID>
      <start>82</start>
      <end>83</end>
      <status>modified</status>
      <modifiedWord>—</modifiedWord>
      <trackRevisions>false</trackRevisions>
    </reviewItem>
    <reviewItem>
      <errorID>237278bf-8559-41cf-8d33-a3ddf8651f25</errorID>
      <errorWord>风险性</errorWord>
      <group>L1_Word</group>
      <groupName>字词问题</groupName>
      <ability>L2_Typo</ability>
      <abilityName>字词错误</abilityName>
      <candidateList>
        <item>风险</item>
      </candidateList>
      <explain>〈名〉可能发生的危险：担～｜冒着～去搞试验。</explain>
      <paraID> 3DC3610</paraID>
      <start>154</start>
      <end>156</end>
      <status>modified</status>
      <modifiedWord>风险</modifiedWord>
      <trackRevisions>false</trackRevisions>
    </reviewItem>
    <reviewItem>
      <errorID>6527ba7c-2631-4383-b690-1a1027f90afe</errorID>
      <errorWord>配筋</errorWord>
      <group>L1_Word</group>
      <groupName>字词问题</groupName>
      <ability>L2_Typo</ability>
      <abilityName>字词错误</abilityName>
      <candidateList>
        <item>钢筋</item>
      </candidateList>
      <explain/>
      <paraID> 3DC3610</paraID>
      <start>176</start>
      <end>178</end>
      <status>modified</status>
      <modifiedWord>钢筋</modifiedWord>
      <trackRevisions>false</trackRevisions>
    </reviewItem>
    <reviewItem>
      <errorID>cf9629b0-1293-408b-9093-74c9470e66d5</errorID>
      <errorWord>几率</errorWord>
      <group>L1_Word</group>
      <groupName>字词问题</groupName>
      <ability>L2_Typo</ability>
      <abilityName>字词错误</abilityName>
      <candidateList>
        <item>概率</item>
      </candidateList>
      <explain/>
      <paraID>542D47CC</paraID>
      <start>9</start>
      <end>11</end>
      <status>modified</status>
      <modifiedWord>概率</modifiedWord>
      <trackRevisions>false</trackRevisions>
    </reviewItem>
    <reviewItem>
      <errorID>20969c04-9774-41f7-b41b-9f25e2d11142</errorID>
      <errorWord>泄露</errorWord>
      <group>L1_Word</group>
      <groupName>字词问题</groupName>
      <ability>L2_Typo</ability>
      <abilityName>字词错误</abilityName>
      <candidateList>
        <item>泄漏</item>
      </candidateList>
      <explain/>
      <paraID>542D47CC</paraID>
      <start>27</start>
      <end>29</end>
      <status>modified</status>
      <modifiedWord>泄漏</modifiedWord>
      <trackRevisions>false</trackRevisions>
    </reviewItem>
    <reviewItem>
      <errorID>2b519344-b368-45a3-819d-d3e83fa84e63</errorID>
      <errorWord>泄露</errorWord>
      <group>L1_Word</group>
      <groupName>字词问题</groupName>
      <ability>L2_Typo</ability>
      <abilityName>字词错误</abilityName>
      <candidateList>
        <item>泄漏</item>
      </candidateList>
      <explain/>
      <paraID>6D31FA4B</paraID>
      <start>123</start>
      <end>125</end>
      <status>modified</status>
      <modifiedWord>泄漏</modifiedWord>
      <trackRevisions>false</trackRevisions>
    </reviewItem>
    <reviewItem>
      <errorID>474900e9-2c79-4f93-b250-dcba1ab4c206</errorID>
      <errorWord>泄露</errorWord>
      <group>L1_Word</group>
      <groupName>字词问题</groupName>
      <ability>L2_Typo</ability>
      <abilityName>字词错误</abilityName>
      <candidateList>
        <item>泄漏</item>
      </candidateList>
      <explain/>
      <paraID>76AC5675</paraID>
      <start>3</start>
      <end>5</end>
      <status>modified</status>
      <modifiedWord>泄漏</modifiedWord>
      <trackRevisions>false</trackRevisions>
    </reviewItem>
    <reviewItem>
      <errorID>1807d1ef-a11f-454b-a60d-893b1ca71e91</errorID>
      <errorWord>、</errorWord>
      <group>L1_Punc</group>
      <groupName>标点问题</groupName>
      <ability>L2_Punc</ability>
      <abilityName>标点符号检查</abilityName>
      <candidateList>
        <item>.</item>
      </candidateList>
      <explain/>
      <paraID>3F763ADD</paraID>
      <start>1</start>
      <end>2</end>
      <status>modified</status>
      <modifiedWord>.</modifiedWord>
      <trackRevisions>false</trackRevisions>
    </reviewItem>
    <reviewItem>
      <errorID>cc3dd937-291d-46bd-a3cc-aa0d3d426512</errorID>
      <errorWord>、</errorWord>
      <group>L1_Punc</group>
      <groupName>标点问题</groupName>
      <ability>L2_Punc</ability>
      <abilityName>标点符号检查</abilityName>
      <candidateList>
        <item>.</item>
      </candidateList>
      <explain/>
      <paraID>7EA0CA81</paraID>
      <start>1</start>
      <end>2</end>
      <status>modified</status>
      <modifiedWord>.</modifiedWord>
      <trackRevisions>false</trackRevisions>
    </reviewItem>
    <reviewItem>
      <errorID>b1c1e6f5-37a0-455d-b08c-d0a1d510da58</errorID>
      <errorWord>，</errorWord>
      <group>L1_Word</group>
      <groupName>字词问题</groupName>
      <ability>L2_Typo</ability>
      <abilityName>字词错误</abilityName>
      <candidateList>
        <item>，以</item>
      </candidateList>
      <explain/>
      <paraID> 6DD9C55</paraID>
      <start>108</start>
      <end>110</end>
      <status>modified</status>
      <modifiedWord>，以</modifiedWord>
      <trackRevisions>false</trackRevisions>
    </reviewItem>
    <reviewItem>
      <errorID>28eec5a3-569f-44e1-879f-51edfbe30264</errorID>
      <errorWord>环保治理</errorWord>
      <group>L1_Word</group>
      <groupName>字词问题</groupName>
      <ability>L2_Typo</ability>
      <abilityName>字词错误</abilityName>
      <candidateList>
        <item>环境治理</item>
      </candidateList>
      <explain/>
      <paraID>111257D5</paraID>
      <start>1</start>
      <end>5</end>
      <status>modified</status>
      <modifiedWord>环境治理</modifiedWord>
      <trackRevisions>false</trackRevisions>
    </reviewItem>
    <reviewItem>
      <errorID>9007e4c6-788c-420c-83bb-371852670866</errorID>
      <errorWord>一下</errorWord>
      <group>L1_Word</group>
      <groupName>字词问题</groupName>
      <ability>L2_Typo</ability>
      <abilityName>字词错误</abilityName>
      <candidateList>
        <item>以下</item>
      </candidateList>
      <explain/>
      <paraID>3DAF898F</paraID>
      <start>162</start>
      <end>164</end>
      <status>modified</status>
      <modifiedWord>以下</modifiedWord>
      <trackRevisions>false</trackRevisions>
    </reviewItem>
    <reviewItem>
      <errorID>8bfe4e5f-c454-4ccf-9385-7570ab5d13f4</errorID>
      <errorWord>减震</errorWord>
      <group>L1_Word</group>
      <groupName>字词问题</groupName>
      <ability>L2_Typo</ability>
      <abilityName>字词错误</abilityName>
      <candidateList>
        <item>减振</item>
      </candidateList>
      <explain/>
      <paraID>3DD58056</paraID>
      <start>10</start>
      <end>12</end>
      <status>modified</status>
      <modifiedWord>减振</modifiedWord>
      <trackRevisions>false</trackRevisions>
    </reviewItem>
    <reviewItem>
      <errorID>0815674c-19fa-4a08-b4cc-3629f6d4b7c9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3DD58056</paraID>
      <start>19</start>
      <end>20</end>
      <status>modified</status>
      <modifiedWord>地</modifiedWord>
      <trackRevisions>false</trackRevisions>
    </reviewItem>
    <reviewItem>
      <errorID>d9cd4b95-8d48-4ef4-9d3a-f50cf1f7f1e7</errorID>
      <errorWord>（</errorWord>
      <group>L1_Format</group>
      <groupName>格式问题</groupName>
      <ability>L2_HalfPunc</ability>
      <abilityName>全半角检查</abilityName>
      <candidateList>
        <item>(</item>
      </candidateList>
      <explain>文本全半角错误。</explain>
      <paraID>346446B3</paraID>
      <start>3</start>
      <end>4</end>
      <status>modified</status>
      <modifiedWord>(</modifiedWord>
      <trackRevisions>false</trackRevisions>
    </reviewItem>
    <reviewItem>
      <errorID>140255e1-560c-493c-b100-89673fbbe5f4</errorID>
      <errorWord>）</errorWord>
      <group>L1_Format</group>
      <groupName>格式问题</groupName>
      <ability>L2_HalfPunc</ability>
      <abilityName>全半角检查</abilityName>
      <candidateList>
        <item>)</item>
      </candidateList>
      <explain>文本全半角错误。</explain>
      <paraID>346446B3</paraID>
      <start>7</start>
      <end>8</end>
      <status>modified</status>
      <modifiedWord>)</modifiedWord>
      <trackRevisions>false</trackRevisions>
    </reviewItem>
    <reviewItem>
      <errorID>7219e266-3fd7-4a75-bf7a-323359a8bc8f</errorID>
      <errorWord>（</errorWord>
      <group>L1_Format</group>
      <groupName>格式问题</groupName>
      <ability>L2_HalfPunc</ability>
      <abilityName>全半角检查</abilityName>
      <candidateList>
        <item>(</item>
      </candidateList>
      <explain>文本全半角错误。</explain>
      <paraID>4BFAFE67</paraID>
      <start>5</start>
      <end>6</end>
      <status>modified</status>
      <modifiedWord>(</modifiedWord>
      <trackRevisions>false</trackRevisions>
    </reviewItem>
    <reviewItem>
      <errorID>c5db8c8e-4285-428b-b0cf-5df6b6f26dbc</errorID>
      <errorWord>）</errorWord>
      <group>L1_Format</group>
      <groupName>格式问题</groupName>
      <ability>L2_HalfPunc</ability>
      <abilityName>全半角检查</abilityName>
      <candidateList>
        <item>)</item>
      </candidateList>
      <explain>文本全半角错误。</explain>
      <paraID>4BFAFE67</paraID>
      <start>9</start>
      <end>10</end>
      <status>modified</status>
      <modifiedWord>)</modifiedWord>
      <trackRevisions>false</trackRevisions>
    </reviewItem>
    <reviewItem>
      <errorID>6218ce64-6d9d-45cb-8efa-c69b0e2fe6b9</errorID>
      <errorWord>-</errorWord>
      <group>L1_Format</group>
      <groupName>格式问题</groupName>
      <ability>L2_HalfPunc</ability>
      <abilityName>全半角检查</abilityName>
      <candidateList>
        <item>－</item>
      </candidateList>
      <explain>文本全半角错误。</explain>
      <paraID>3DE6D107</paraID>
      <start>17</start>
      <end>18</end>
      <status>modified</status>
      <modifiedWord>－</modifiedWord>
      <trackRevisions>false</trackRevisions>
    </reviewItem>
    <reviewItem>
      <errorID>1337d39c-8fe8-40e5-8cec-ed3c45c9af02</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24B71080</paraID>
      <start>5</start>
      <end>11</end>
      <status>modified</status>
      <modifiedWord>“三线一单”</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6686f-2e28-4254-ace1-4a8071872d8a}">
  <ds:schemaRefs/>
</ds:datastoreItem>
</file>

<file path=docProps/app.xml><?xml version="1.0" encoding="utf-8"?>
<Properties xmlns="http://schemas.openxmlformats.org/officeDocument/2006/extended-properties" xmlns:vt="http://schemas.openxmlformats.org/officeDocument/2006/docPropsVTypes">
  <Pages>82</Pages>
  <Words>14223</Words>
  <Characters>15376</Characters>
  <TotalTime>36</TotalTime>
  <ScaleCrop>false</ScaleCrop>
  <LinksUpToDate>false</LinksUpToDate>
  <CharactersWithSpaces>15467</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2021-01-05T10:16:00Z</dcterms:created>
  <dc:creator>Emi</dc:creator>
  <cp:lastModifiedBy>C￡X¤H</cp:lastModifiedBy>
  <cp:lastPrinted>2025-04-03T06:45:00Z</cp:lastPrinted>
  <dcterms:modified xsi:type="dcterms:W3CDTF">2026-02-04T01:48:18Z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2023-03-15T15:19:43Z</vt:filetime>
  </property>
  <property fmtid="{D5CDD505-2E9C-101B-9397-08002B2CF9AE}" pid="4" name="KSOProductBuildVer">
    <vt:lpwstr>2052-12.1.0.24657</vt:lpwstr>
  </property>
  <property fmtid="{D5CDD505-2E9C-101B-9397-08002B2CF9AE}" pid="5" name="ICV">
    <vt:lpwstr>75E721BB307F4084896ACB287B68889C_13</vt:lpwstr>
  </property>
  <property fmtid="{D5CDD505-2E9C-101B-9397-08002B2CF9AE}" pid="6" name="KSOTemplateDocerSaveRecord">
    <vt:lpwstr>eyJoZGlkIjoiZDZiMDk5NDk0ZDY1ZjM5Y2QxODFmMTc5NmQxNjE3ZDkiLCJ1c2VySWQiOiIyMjM2MzY4NzcifQ==</vt:lpwstr>
  </property>
</Properties>
</file>