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default" w:ascii="宋体" w:eastAsia="宋体"/>
          <w:b/>
        </w:rPr>
      </w:pPr>
      <w:r>
        <w:rPr>
          <w:rStyle w:val="16"/>
          <w:rFonts w:hint="default" w:ascii="宋体" w:eastAsia="宋体"/>
          <w:b/>
        </w:rPr>
        <w:t>永春县关于申报202</w:t>
      </w:r>
      <w:r>
        <w:rPr>
          <w:rStyle w:val="16"/>
          <w:rFonts w:hint="eastAsia" w:ascii="宋体" w:eastAsia="宋体"/>
          <w:b/>
          <w:lang w:val="en-US" w:eastAsia="zh-CN"/>
        </w:rPr>
        <w:t>5</w:t>
      </w:r>
      <w:r>
        <w:rPr>
          <w:rStyle w:val="16"/>
          <w:rFonts w:hint="default" w:ascii="宋体" w:eastAsia="宋体"/>
          <w:b/>
        </w:rPr>
        <w:t>年度农村道路客运和城市交通发展奖励涨价补贴资金的自评报告</w:t>
      </w:r>
    </w:p>
    <w:p>
      <w:pPr>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根据《福建省财政厅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福建省交通运输厅关于印发&lt;福建省农村道路客运和城市交通发展奖励涨价补贴资金管理办法&gt;的通知》（闽财规〔</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〕8号）文件要求，现将福建省泉运实业集团有限公司永春分公司</w:t>
      </w:r>
      <w:r>
        <w:rPr>
          <w:rFonts w:hint="eastAsia" w:ascii="仿宋_GB2312" w:hAnsi="仿宋_GB2312" w:eastAsia="仿宋_GB2312" w:cs="仿宋_GB2312"/>
          <w:sz w:val="32"/>
          <w:szCs w:val="32"/>
          <w:lang w:eastAsia="zh-CN"/>
        </w:rPr>
        <w:t>、永春县闽兴公共交通有限公司和永春县闽兴出租汽车有限公司</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w:t>
      </w:r>
      <w:r>
        <w:rPr>
          <w:rFonts w:ascii="仿宋_GB2312" w:hAnsi="仿宋_GB2312" w:eastAsia="仿宋_GB2312" w:cs="仿宋_GB2312"/>
          <w:sz w:val="32"/>
          <w:szCs w:val="32"/>
        </w:rPr>
        <w:t>农村道路客运和城市交通发展</w:t>
      </w:r>
      <w:r>
        <w:rPr>
          <w:rFonts w:hint="eastAsia" w:ascii="仿宋_GB2312" w:hAnsi="仿宋_GB2312" w:eastAsia="仿宋_GB2312" w:cs="仿宋_GB2312"/>
          <w:sz w:val="32"/>
          <w:szCs w:val="32"/>
        </w:rPr>
        <w:t>情况报告如下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、农村道路客运发展补贴资金自评情况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黑体" w:eastAsia="楷体_GB2312" w:cs="黑体"/>
          <w:b/>
          <w:sz w:val="32"/>
          <w:szCs w:val="32"/>
        </w:rPr>
      </w:pPr>
      <w:r>
        <w:rPr>
          <w:rFonts w:hint="eastAsia" w:ascii="楷体_GB2312" w:hAnsi="黑体" w:eastAsia="楷体_GB2312" w:cs="黑体"/>
          <w:b/>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年12月31日，我县共有农村客运企业一家，</w:t>
      </w:r>
      <w:r>
        <w:rPr>
          <w:rFonts w:hint="eastAsia" w:ascii="仿宋_GB2312" w:hAnsi="仿宋_GB2312" w:eastAsia="仿宋_GB2312" w:cs="仿宋_GB2312"/>
          <w:sz w:val="32"/>
          <w:szCs w:val="32"/>
          <w:highlight w:val="none"/>
        </w:rPr>
        <w:t>农村客运线路</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条、车辆</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辆。辖区共有209个建制村，其中</w:t>
      </w:r>
      <w:r>
        <w:rPr>
          <w:rFonts w:hint="eastAsia" w:ascii="仿宋_GB2312" w:hAnsi="仿宋_GB2312" w:eastAsia="仿宋_GB2312" w:cs="仿宋_GB2312"/>
          <w:sz w:val="32"/>
          <w:szCs w:val="32"/>
          <w:highlight w:val="none"/>
          <w:lang w:val="en-US" w:eastAsia="zh-CN"/>
        </w:rPr>
        <w:t>44</w:t>
      </w:r>
      <w:r>
        <w:rPr>
          <w:rFonts w:hint="eastAsia" w:ascii="仿宋_GB2312" w:hAnsi="仿宋_GB2312" w:eastAsia="仿宋_GB2312" w:cs="仿宋_GB2312"/>
          <w:sz w:val="32"/>
          <w:szCs w:val="32"/>
          <w:highlight w:val="none"/>
        </w:rPr>
        <w:t>个建制村采取通客车形式。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黑体" w:eastAsia="楷体_GB2312" w:cs="黑体"/>
          <w:b/>
          <w:sz w:val="32"/>
          <w:szCs w:val="32"/>
        </w:rPr>
      </w:pPr>
      <w:r>
        <w:rPr>
          <w:rFonts w:hint="eastAsia" w:ascii="楷体_GB2312" w:hAnsi="黑体" w:eastAsia="楷体_GB2312" w:cs="黑体"/>
          <w:b/>
          <w:sz w:val="32"/>
          <w:szCs w:val="32"/>
        </w:rPr>
        <w:t>（二）自评得分情况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1.建制村通客车服务质量情况（本项满分100分）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考核年度内建制村通客车情况：</w:t>
      </w:r>
    </w:p>
    <w:p>
      <w:pPr>
        <w:spacing w:line="56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无通返不通情况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都符合标准。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本项自评得分：</w:t>
      </w:r>
      <w:r>
        <w:rPr>
          <w:rFonts w:hint="eastAsia" w:ascii="Times New Roman" w:hAnsi="Times New Roman" w:eastAsia="仿宋_GB2312" w:cs="Times New Roman"/>
          <w:sz w:val="32"/>
          <w:szCs w:val="32"/>
        </w:rPr>
        <w:t>100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2.</w:t>
      </w:r>
      <w:r>
        <w:rPr>
          <w:rFonts w:ascii="楷体_GB2312" w:hAnsi="Times New Roman" w:eastAsia="楷体_GB2312" w:cs="Times New Roman"/>
          <w:b/>
          <w:sz w:val="32"/>
          <w:szCs w:val="32"/>
        </w:rPr>
        <w:t>地方财政保障情况（本项满分</w:t>
      </w:r>
      <w:r>
        <w:rPr>
          <w:rFonts w:hint="eastAsia" w:ascii="楷体_GB2312" w:hAnsi="Times New Roman" w:eastAsia="楷体_GB2312" w:cs="Times New Roman"/>
          <w:b/>
          <w:sz w:val="32"/>
          <w:szCs w:val="32"/>
        </w:rPr>
        <w:t>2</w:t>
      </w:r>
      <w:r>
        <w:rPr>
          <w:rFonts w:ascii="楷体_GB2312" w:hAnsi="Times New Roman" w:eastAsia="楷体_GB2312" w:cs="Times New Roman"/>
          <w:b/>
          <w:sz w:val="32"/>
          <w:szCs w:val="32"/>
        </w:rPr>
        <w:t>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2025</w:t>
      </w:r>
      <w:r>
        <w:rPr>
          <w:rFonts w:ascii="Times New Roman" w:hAnsi="Times New Roman" w:eastAsia="仿宋_GB2312" w:cs="Times New Roman"/>
          <w:kern w:val="2"/>
          <w:sz w:val="32"/>
          <w:szCs w:val="32"/>
          <w:lang w:val="en-US" w:eastAsia="zh-CN" w:bidi="ar-SA"/>
        </w:rPr>
        <w:t>年度，</w:t>
      </w:r>
      <w:r>
        <w:rPr>
          <w:rFonts w:hint="eastAsia" w:ascii="Times New Roman" w:hAnsi="Times New Roman" w:eastAsia="仿宋_GB2312" w:cs="Times New Roman"/>
          <w:kern w:val="2"/>
          <w:sz w:val="32"/>
          <w:szCs w:val="32"/>
          <w:lang w:val="en-US" w:eastAsia="zh-CN" w:bidi="ar-SA"/>
        </w:rPr>
        <w:t>未出台本级农村道路客运扶持政策。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本项自评得分：</w:t>
      </w:r>
      <w:r>
        <w:rPr>
          <w:rFonts w:hint="eastAsia" w:ascii="Times New Roman" w:hAnsi="Times New Roman" w:eastAsia="仿宋_GB2312" w:cs="Times New Roman"/>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2.地方财政保障情况（本项满分20分）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2025年度，根据《泉州市交通运输局 泉州市财政局关于印发&lt;泉州市农村客运车辆运营补贴和农村客货邮融合发展补贴政策实施方案&gt;的通知》(泉交规〔2023]10号)、《泉州市财政局 泉州市交通运输局关于下达2024年度农村客运车辆运营补贴资金的通知》（泉财建指〔2025〕95号）补助政策，《永春县交通运输局关于下达2024年度农村客运车辆运营补贴资金发放工作的通知》（永交〔2025〕87号）补助政策，落实2024年度农村客运车辆运营补贴资金合计2.51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本项自评得分：20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4.辖区农客车辆座位数情况（根据实际座位数得分）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ascii="Times New Roman" w:hAnsi="Times New Roman" w:eastAsia="仿宋_GB2312" w:cs="Times New Roman"/>
          <w:sz w:val="32"/>
          <w:szCs w:val="32"/>
        </w:rPr>
        <w:t>年度内辖区在册运营的农村道路客运车辆座位数</w:t>
      </w:r>
      <w:r>
        <w:rPr>
          <w:rFonts w:hint="eastAsia" w:ascii="Times New Roman" w:hAnsi="Times New Roman" w:eastAsia="仿宋_GB2312" w:cs="Times New Roman"/>
          <w:sz w:val="32"/>
          <w:szCs w:val="32"/>
          <w:lang w:val="en-US" w:eastAsia="zh-CN"/>
        </w:rPr>
        <w:t>55座。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本项自评得分：</w:t>
      </w:r>
      <w:r>
        <w:rPr>
          <w:rFonts w:hint="eastAsia" w:ascii="Times New Roman" w:hAnsi="Times New Roman" w:eastAsia="仿宋_GB2312" w:cs="Times New Roman"/>
          <w:sz w:val="32"/>
          <w:szCs w:val="32"/>
          <w:lang w:val="en-US" w:eastAsia="zh-CN"/>
        </w:rPr>
        <w:t>5.5分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5.</w:t>
      </w:r>
      <w:r>
        <w:rPr>
          <w:rFonts w:ascii="楷体_GB2312" w:hAnsi="Times New Roman" w:eastAsia="楷体_GB2312" w:cs="Times New Roman"/>
          <w:b/>
          <w:color w:val="auto"/>
          <w:sz w:val="32"/>
          <w:szCs w:val="32"/>
        </w:rPr>
        <w:t>辖区建制村通客车难度情况（本项满分50分）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根据辖区建制村数量×难度权重系数进行排序，其中转移支付补助</w:t>
      </w:r>
      <w:r>
        <w:rPr>
          <w:rFonts w:ascii="Times New Roman" w:hAnsi="Times New Roman" w:eastAsia="仿宋_GB2312" w:cs="Times New Roman"/>
          <w:color w:val="auto"/>
          <w:sz w:val="32"/>
          <w:szCs w:val="32"/>
          <w:highlight w:val="none"/>
        </w:rPr>
        <w:t>第一档、第二档和第三档县（</w:t>
      </w:r>
      <w:r>
        <w:rPr>
          <w:rFonts w:hint="eastAsia" w:ascii="Times New Roman" w:hAnsi="Times New Roman" w:eastAsia="仿宋_GB2312" w:cs="Times New Roman"/>
          <w:color w:val="auto"/>
          <w:sz w:val="32"/>
          <w:szCs w:val="32"/>
          <w:highlight w:val="none"/>
        </w:rPr>
        <w:t>安溪县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南安市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永春县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德化县、惠安县</w:t>
      </w:r>
      <w:r>
        <w:rPr>
          <w:rFonts w:ascii="Times New Roman" w:hAnsi="Times New Roman" w:eastAsia="仿宋_GB2312" w:cs="Times New Roman"/>
          <w:color w:val="auto"/>
          <w:sz w:val="32"/>
          <w:szCs w:val="32"/>
          <w:highlight w:val="none"/>
        </w:rPr>
        <w:t>）难度系数为1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转移</w:t>
      </w:r>
      <w:r>
        <w:rPr>
          <w:rFonts w:ascii="Times New Roman" w:hAnsi="Times New Roman" w:eastAsia="仿宋_GB2312" w:cs="Times New Roman"/>
          <w:color w:val="auto"/>
          <w:sz w:val="32"/>
          <w:szCs w:val="32"/>
        </w:rPr>
        <w:t>支付补助第</w:t>
      </w:r>
      <w:r>
        <w:rPr>
          <w:rFonts w:hint="eastAsia" w:ascii="Times New Roman" w:hAnsi="Times New Roman" w:eastAsia="仿宋_GB2312" w:cs="Times New Roman"/>
          <w:color w:val="auto"/>
          <w:sz w:val="32"/>
          <w:szCs w:val="32"/>
        </w:rPr>
        <w:t>四</w:t>
      </w:r>
      <w:r>
        <w:rPr>
          <w:rFonts w:ascii="Times New Roman" w:hAnsi="Times New Roman" w:eastAsia="仿宋_GB2312" w:cs="Times New Roman"/>
          <w:color w:val="auto"/>
          <w:sz w:val="32"/>
          <w:szCs w:val="32"/>
        </w:rPr>
        <w:t>档和第</w:t>
      </w:r>
      <w:r>
        <w:rPr>
          <w:rFonts w:hint="eastAsia" w:ascii="Times New Roman" w:hAnsi="Times New Roman" w:eastAsia="仿宋_GB2312" w:cs="Times New Roman"/>
          <w:color w:val="auto"/>
          <w:sz w:val="32"/>
          <w:szCs w:val="32"/>
        </w:rPr>
        <w:t>五</w:t>
      </w:r>
      <w:r>
        <w:rPr>
          <w:rFonts w:ascii="Times New Roman" w:hAnsi="Times New Roman" w:eastAsia="仿宋_GB2312" w:cs="Times New Roman"/>
          <w:color w:val="auto"/>
          <w:sz w:val="32"/>
          <w:szCs w:val="32"/>
        </w:rPr>
        <w:t>档</w:t>
      </w:r>
      <w:r>
        <w:rPr>
          <w:rFonts w:hint="eastAsia" w:ascii="Times New Roman" w:hAnsi="Times New Roman" w:eastAsia="仿宋_GB2312" w:cs="Times New Roman"/>
          <w:color w:val="auto"/>
          <w:sz w:val="32"/>
          <w:szCs w:val="32"/>
        </w:rPr>
        <w:t>县（石狮市、晋江市、鲤城区、丰泽区、洛江区、泉港区）</w:t>
      </w:r>
      <w:r>
        <w:rPr>
          <w:rFonts w:ascii="Times New Roman" w:hAnsi="Times New Roman" w:eastAsia="仿宋_GB2312" w:cs="Times New Roman"/>
          <w:color w:val="auto"/>
          <w:sz w:val="32"/>
          <w:szCs w:val="32"/>
        </w:rPr>
        <w:t>难度系数为</w:t>
      </w:r>
      <w:r>
        <w:rPr>
          <w:rFonts w:hint="eastAsia" w:ascii="Times New Roman" w:hAnsi="Times New Roman" w:eastAsia="仿宋_GB2312" w:cs="Times New Roman"/>
          <w:color w:val="auto"/>
          <w:sz w:val="32"/>
          <w:szCs w:val="32"/>
        </w:rPr>
        <w:t>0.8</w:t>
      </w:r>
      <w:r>
        <w:rPr>
          <w:rFonts w:ascii="Times New Roman" w:hAnsi="Times New Roman" w:eastAsia="仿宋_GB2312" w:cs="Times New Roman"/>
          <w:color w:val="auto"/>
          <w:sz w:val="32"/>
          <w:szCs w:val="32"/>
        </w:rPr>
        <w:t>。加权后建制村通车难度排名第一得50分、第二得45分、第三得40分，以此类推。</w:t>
      </w:r>
      <w:r>
        <w:rPr>
          <w:rFonts w:hint="eastAsia" w:ascii="Times New Roman" w:hAnsi="Times New Roman" w:eastAsia="仿宋_GB2312" w:cs="Times New Roman"/>
          <w:color w:val="auto"/>
          <w:sz w:val="32"/>
          <w:szCs w:val="32"/>
        </w:rPr>
        <w:t>没有农村道路客运的县不参与排名。</w:t>
      </w:r>
    </w:p>
    <w:tbl>
      <w:tblPr>
        <w:tblStyle w:val="10"/>
        <w:tblpPr w:leftFromText="180" w:rightFromText="180" w:vertAnchor="text" w:horzAnchor="page" w:tblpX="1751" w:tblpY="159"/>
        <w:tblOverlap w:val="never"/>
        <w:tblW w:w="45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355"/>
        <w:gridCol w:w="1355"/>
        <w:gridCol w:w="1355"/>
        <w:gridCol w:w="135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县市区</w:t>
            </w:r>
          </w:p>
        </w:tc>
        <w:tc>
          <w:tcPr>
            <w:tcW w:w="7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石狮</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南安</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安溪</w:t>
            </w:r>
          </w:p>
        </w:tc>
        <w:tc>
          <w:tcPr>
            <w:tcW w:w="794"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永春</w:t>
            </w:r>
          </w:p>
        </w:tc>
        <w:tc>
          <w:tcPr>
            <w:tcW w:w="79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建制村数</w:t>
            </w:r>
          </w:p>
        </w:tc>
        <w:tc>
          <w:tcPr>
            <w:tcW w:w="7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101</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379</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443</w:t>
            </w:r>
          </w:p>
        </w:tc>
        <w:tc>
          <w:tcPr>
            <w:tcW w:w="794"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209</w:t>
            </w:r>
          </w:p>
        </w:tc>
        <w:tc>
          <w:tcPr>
            <w:tcW w:w="79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权重系数</w:t>
            </w:r>
          </w:p>
        </w:tc>
        <w:tc>
          <w:tcPr>
            <w:tcW w:w="7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0.8</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794"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79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难度得分</w:t>
            </w:r>
          </w:p>
        </w:tc>
        <w:tc>
          <w:tcPr>
            <w:tcW w:w="7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80.8</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379</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443</w:t>
            </w:r>
          </w:p>
        </w:tc>
        <w:tc>
          <w:tcPr>
            <w:tcW w:w="794"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209</w:t>
            </w:r>
          </w:p>
        </w:tc>
        <w:tc>
          <w:tcPr>
            <w:tcW w:w="79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pacing w:val="-11"/>
                <w:sz w:val="32"/>
                <w:szCs w:val="32"/>
              </w:rPr>
            </w:pPr>
            <w:r>
              <w:rPr>
                <w:rFonts w:ascii="Times New Roman" w:hAnsi="Times New Roman" w:eastAsia="仿宋_GB2312" w:cs="Times New Roman"/>
                <w:spacing w:val="-11"/>
                <w:sz w:val="32"/>
                <w:szCs w:val="32"/>
              </w:rPr>
              <w:t>排名</w:t>
            </w:r>
          </w:p>
        </w:tc>
        <w:tc>
          <w:tcPr>
            <w:tcW w:w="796"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795"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794"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p>
        </w:tc>
        <w:tc>
          <w:tcPr>
            <w:tcW w:w="798" w:type="pct"/>
            <w:vAlign w:val="center"/>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本项自评得分：</w:t>
      </w:r>
      <w:r>
        <w:rPr>
          <w:rFonts w:hint="eastAsia" w:ascii="Times New Roman" w:hAnsi="Times New Roman" w:eastAsia="仿宋_GB2312" w:cs="Times New Roman"/>
          <w:sz w:val="32"/>
          <w:szCs w:val="32"/>
        </w:rPr>
        <w:t>40</w:t>
      </w:r>
      <w:r>
        <w:rPr>
          <w:rFonts w:hint="eastAsia"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6.辖区农村道路客运安全稳定情况（本项满分30分）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ascii="Times New Roman" w:hAnsi="Times New Roman" w:eastAsia="仿宋_GB2312" w:cs="Times New Roman"/>
          <w:sz w:val="32"/>
          <w:szCs w:val="32"/>
        </w:rPr>
        <w:t>年度，</w:t>
      </w:r>
      <w:r>
        <w:rPr>
          <w:rFonts w:ascii="Times New Roman" w:hAnsi="Times New Roman" w:eastAsia="仿宋_GB2312" w:cs="Times New Roman"/>
          <w:sz w:val="32"/>
          <w:szCs w:val="32"/>
          <w:highlight w:val="none"/>
        </w:rPr>
        <w:t>未发生负同等</w:t>
      </w:r>
      <w:r>
        <w:rPr>
          <w:rFonts w:ascii="Times New Roman" w:hAnsi="Times New Roman" w:eastAsia="仿宋_GB2312" w:cs="Times New Roman"/>
          <w:sz w:val="32"/>
          <w:szCs w:val="32"/>
        </w:rPr>
        <w:t>及以上责任的安全生产事故。未发生农村道路客运领域群体性不稳定事件。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本项自评得分：</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lang w:eastAsia="zh-CN"/>
        </w:rPr>
        <w:t>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7.</w:t>
      </w:r>
      <w:r>
        <w:rPr>
          <w:rFonts w:ascii="楷体_GB2312" w:hAnsi="Times New Roman" w:eastAsia="楷体_GB2312" w:cs="Times New Roman"/>
          <w:b/>
          <w:sz w:val="32"/>
          <w:szCs w:val="32"/>
        </w:rPr>
        <w:t>建制村通客车工作成效（本项为加分项，最高加分不超过100分）</w:t>
      </w:r>
      <w:r>
        <w:rPr>
          <w:rFonts w:hint="eastAsia" w:ascii="楷体_GB2312" w:hAnsi="Times New Roman" w:eastAsia="楷体_GB2312" w:cs="Times New Roman"/>
          <w:b/>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jc w:val="lef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年度，未获城乡交通运输一体化全国示范县称号的。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highlight w:val="none"/>
        </w:rPr>
        <w:t>(2)202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年度，建制村通客车经验做法未获省部</w:t>
      </w:r>
      <w:r>
        <w:rPr>
          <w:rFonts w:hint="eastAsia" w:ascii="仿宋_GB2312" w:hAnsi="Times New Roman" w:eastAsia="仿宋_GB2312" w:cs="Times New Roman"/>
          <w:sz w:val="32"/>
          <w:szCs w:val="32"/>
        </w:rPr>
        <w:t>级及以上领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导批示、省部级及以上会议典型经验交流、省部级发文推广的;未在省厅、省运输中心会议作典型经验交流或发文推广的;未在相关领导书面讲话中获肯定的事项。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rPr>
        <w:t>(3)</w:t>
      </w: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年度，未承担部级建制村通客车工作试点任务的;未承担省级建制村通客车工作试点任务的。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(4)202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年度，预约响应通车建制村(以交通运输部乡镇和建制村通客车台账系统2020年第四季度数据为准)提升为通班车的，建制村数为0。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本项自评得分</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0分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lang w:val="en-US" w:eastAsia="zh-CN"/>
        </w:rPr>
        <w:t>8</w:t>
      </w:r>
      <w:r>
        <w:rPr>
          <w:rFonts w:hint="eastAsia" w:ascii="楷体_GB2312" w:hAnsi="Times New Roman" w:eastAsia="楷体_GB2312" w:cs="Times New Roman"/>
          <w:b/>
          <w:sz w:val="32"/>
          <w:szCs w:val="32"/>
        </w:rPr>
        <w:t>.自评总分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综上，永春县202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年度农村</w:t>
      </w:r>
      <w:r>
        <w:rPr>
          <w:rFonts w:hint="eastAsia" w:ascii="仿宋_GB2312" w:hAnsi="Times New Roman" w:eastAsia="仿宋_GB2312" w:cs="Times New Roman"/>
          <w:sz w:val="32"/>
          <w:szCs w:val="32"/>
          <w:lang w:eastAsia="zh-CN"/>
        </w:rPr>
        <w:t>道路</w:t>
      </w:r>
      <w:r>
        <w:rPr>
          <w:rFonts w:hint="eastAsia" w:ascii="仿宋_GB2312" w:hAnsi="Times New Roman" w:eastAsia="仿宋_GB2312" w:cs="Times New Roman"/>
          <w:sz w:val="32"/>
          <w:szCs w:val="32"/>
        </w:rPr>
        <w:t>客运发展补贴资金自评总分</w:t>
      </w:r>
      <w:r>
        <w:rPr>
          <w:rFonts w:hint="eastAsia" w:ascii="仿宋_GB2312" w:hAnsi="Times New Roman" w:eastAsia="仿宋_GB2312" w:cs="Times New Roman"/>
          <w:sz w:val="32"/>
          <w:szCs w:val="32"/>
          <w:lang w:val="en-US" w:eastAsia="zh-CN"/>
        </w:rPr>
        <w:t>195.5</w:t>
      </w:r>
      <w:r>
        <w:rPr>
          <w:rFonts w:hint="eastAsia" w:ascii="仿宋_GB2312" w:hAnsi="Times New Roman" w:eastAsia="仿宋_GB2312" w:cs="Times New Roman"/>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仿宋"/>
          <w:bCs/>
          <w:sz w:val="32"/>
          <w:szCs w:val="32"/>
        </w:rPr>
      </w:pPr>
      <w:r>
        <w:rPr>
          <w:rFonts w:hint="eastAsia" w:ascii="黑体" w:hAnsi="黑体" w:eastAsia="黑体" w:cs="仿宋"/>
          <w:bCs/>
          <w:sz w:val="32"/>
          <w:szCs w:val="32"/>
          <w:lang w:eastAsia="zh-CN"/>
        </w:rPr>
        <w:t>二</w:t>
      </w:r>
      <w:r>
        <w:rPr>
          <w:rFonts w:hint="eastAsia" w:ascii="黑体" w:hAnsi="黑体" w:eastAsia="黑体" w:cs="仿宋"/>
          <w:bCs/>
          <w:sz w:val="32"/>
          <w:szCs w:val="32"/>
        </w:rPr>
        <w:t>、农村客运站点发展补贴资金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w:t>
      </w:r>
      <w:r>
        <w:rPr>
          <w:rFonts w:hint="eastAsia" w:ascii="仿宋_GB2312" w:hAnsi="仿宋_GB2312" w:eastAsia="仿宋_GB2312" w:cs="仿宋_GB2312"/>
          <w:sz w:val="32"/>
          <w:szCs w:val="32"/>
        </w:rPr>
        <w:t>建省泉运实业集团有限公司永春分公司于2018年7月全部完成蓬壶镇运输服务站改造建设，该项目占地面积约2000平方米，总建筑面积约500平方米，工程投资总金额约为83.5924万元，集客运站、交通执法、保险服务中心、移动通讯、车辆服务中心等功能为一体。2018年8月组织相关人员对该项目进行了工程验收，同年8月该站及时投入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福建省泉运实业集团有限公司永春分公司于20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月全部完成</w:t>
      </w:r>
      <w:r>
        <w:rPr>
          <w:rFonts w:hint="eastAsia" w:ascii="仿宋_GB2312" w:hAnsi="仿宋_GB2312" w:eastAsia="仿宋_GB2312" w:cs="仿宋_GB2312"/>
          <w:sz w:val="32"/>
          <w:szCs w:val="32"/>
          <w:lang w:val="en-US" w:eastAsia="zh-CN"/>
        </w:rPr>
        <w:t>下洋</w:t>
      </w:r>
      <w:r>
        <w:rPr>
          <w:rFonts w:hint="eastAsia" w:ascii="仿宋_GB2312" w:hAnsi="仿宋_GB2312" w:eastAsia="仿宋_GB2312" w:cs="仿宋_GB2312"/>
          <w:sz w:val="32"/>
          <w:szCs w:val="32"/>
        </w:rPr>
        <w:t>镇运输服务站改造建设，该项目占地面积约</w:t>
      </w:r>
      <w:r>
        <w:rPr>
          <w:rFonts w:hint="eastAsia" w:ascii="仿宋_GB2312" w:hAnsi="仿宋_GB2312" w:eastAsia="仿宋_GB2312" w:cs="仿宋_GB2312"/>
          <w:sz w:val="32"/>
          <w:szCs w:val="32"/>
          <w:lang w:val="en-US" w:eastAsia="zh-CN"/>
        </w:rPr>
        <w:t>4250</w:t>
      </w:r>
      <w:r>
        <w:rPr>
          <w:rFonts w:hint="eastAsia" w:ascii="仿宋_GB2312" w:hAnsi="仿宋_GB2312" w:eastAsia="仿宋_GB2312" w:cs="仿宋_GB2312"/>
          <w:sz w:val="32"/>
          <w:szCs w:val="32"/>
        </w:rPr>
        <w:t>平方米，总建筑面积约</w:t>
      </w:r>
      <w:r>
        <w:rPr>
          <w:rFonts w:hint="eastAsia" w:ascii="仿宋_GB2312" w:hAnsi="仿宋_GB2312" w:eastAsia="仿宋_GB2312" w:cs="仿宋_GB2312"/>
          <w:sz w:val="32"/>
          <w:szCs w:val="32"/>
          <w:lang w:val="en-US" w:eastAsia="zh-CN"/>
        </w:rPr>
        <w:t>1381.72</w:t>
      </w:r>
      <w:r>
        <w:rPr>
          <w:rFonts w:hint="eastAsia" w:ascii="仿宋_GB2312" w:hAnsi="仿宋_GB2312" w:eastAsia="仿宋_GB2312" w:cs="仿宋_GB2312"/>
          <w:sz w:val="32"/>
          <w:szCs w:val="32"/>
        </w:rPr>
        <w:t>平方米，工程投资总金额约为</w:t>
      </w:r>
      <w:r>
        <w:rPr>
          <w:rFonts w:hint="eastAsia" w:ascii="仿宋_GB2312" w:hAnsi="仿宋_GB2312" w:eastAsia="仿宋_GB2312" w:cs="仿宋_GB2312"/>
          <w:sz w:val="32"/>
          <w:szCs w:val="32"/>
          <w:lang w:val="en-US" w:eastAsia="zh-CN"/>
        </w:rPr>
        <w:t>102.5815</w:t>
      </w:r>
      <w:r>
        <w:rPr>
          <w:rFonts w:hint="eastAsia" w:ascii="仿宋_GB2312" w:hAnsi="仿宋_GB2312" w:eastAsia="仿宋_GB2312" w:cs="仿宋_GB2312"/>
          <w:sz w:val="32"/>
          <w:szCs w:val="32"/>
        </w:rPr>
        <w:t>万元，集客运站、交通执法、保险服务中心、移动通讯、车辆服务中心等功能为一体。20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月组织相关人员对该项目进行了工程验收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月该站及时投入运营。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楷体" w:eastAsia="楷体_GB2312" w:cs="楷体"/>
          <w:b/>
          <w:bCs/>
          <w:sz w:val="32"/>
          <w:szCs w:val="32"/>
        </w:rPr>
      </w:pPr>
      <w:r>
        <w:rPr>
          <w:rFonts w:hint="eastAsia" w:ascii="楷体_GB2312" w:hAnsi="楷体" w:eastAsia="楷体_GB2312" w:cs="楷体"/>
          <w:b/>
          <w:bCs/>
          <w:sz w:val="32"/>
          <w:szCs w:val="32"/>
        </w:rPr>
        <w:t>1.地方财政投入情况系数（本项满分</w:t>
      </w:r>
      <w:r>
        <w:rPr>
          <w:rFonts w:hint="eastAsia" w:ascii="楷体_GB2312" w:hAnsi="楷体" w:eastAsia="楷体_GB2312" w:cs="楷体"/>
          <w:b/>
          <w:bCs/>
          <w:sz w:val="32"/>
          <w:szCs w:val="32"/>
          <w:lang w:val="en-US" w:eastAsia="zh-CN"/>
        </w:rPr>
        <w:t>10</w:t>
      </w:r>
      <w:r>
        <w:rPr>
          <w:rFonts w:hint="eastAsia" w:ascii="楷体_GB2312" w:hAnsi="楷体" w:eastAsia="楷体_GB2312" w:cs="楷体"/>
          <w:b/>
          <w:bCs/>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202</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rPr>
        <w:t>年度未出台本级乡镇综合运输服务站、港湾式客运站建设及客货邮融合发展补助资金</w:t>
      </w:r>
      <w:r>
        <w:rPr>
          <w:rFonts w:hint="eastAsia" w:ascii="仿宋_GB2312" w:hAnsi="Times New Roman" w:eastAsia="仿宋_GB2312" w:cs="Times New Roman"/>
          <w:sz w:val="32"/>
          <w:szCs w:val="32"/>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本项自评得分：0分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楷体" w:eastAsia="楷体_GB2312" w:cs="楷体"/>
          <w:b/>
          <w:bCs/>
          <w:sz w:val="32"/>
          <w:szCs w:val="32"/>
        </w:rPr>
      </w:pPr>
      <w:r>
        <w:rPr>
          <w:rFonts w:hint="eastAsia" w:ascii="楷体_GB2312" w:hAnsi="楷体" w:eastAsia="楷体_GB2312" w:cs="楷体"/>
          <w:b/>
          <w:bCs/>
          <w:sz w:val="32"/>
          <w:szCs w:val="32"/>
        </w:rPr>
        <w:t>2.建设投资情况系数（本项满分35分）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上年度无省级建设计划。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w:t>
      </w:r>
      <w:r>
        <w:rPr>
          <w:rFonts w:hint="eastAsia" w:ascii="仿宋_GB2312" w:hAnsi="Times New Roman" w:eastAsia="仿宋_GB2312" w:cs="Times New Roman"/>
          <w:sz w:val="32"/>
          <w:szCs w:val="32"/>
          <w:lang w:val="en-US" w:eastAsia="zh-CN"/>
        </w:rPr>
        <w:t>0</w:t>
      </w:r>
      <w:r>
        <w:rPr>
          <w:rFonts w:hint="eastAsia" w:ascii="仿宋_GB2312" w:hAnsi="Times New Roman" w:eastAsia="仿宋_GB2312" w:cs="Times New Roman"/>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楷体" w:eastAsia="楷体_GB2312" w:cs="楷体"/>
          <w:b/>
          <w:bCs/>
          <w:sz w:val="32"/>
          <w:szCs w:val="32"/>
        </w:rPr>
      </w:pPr>
      <w:r>
        <w:rPr>
          <w:rFonts w:hint="eastAsia" w:ascii="楷体_GB2312" w:hAnsi="楷体" w:eastAsia="楷体_GB2312" w:cs="楷体"/>
          <w:b/>
          <w:bCs/>
          <w:sz w:val="32"/>
          <w:szCs w:val="32"/>
        </w:rPr>
        <w:t>3.历年列入省级交通建设补助项目数量及建成投入使用情况系数（本项满分40分）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福建省泉运实业集团有限公司蓬壶镇运输服务站于2017年列入省厅级建设补助项目，且已取得《道路运输经营许可证》。蓬壶运输服务站客、货运功能正常运营。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福建省泉运实业集团有限公司下洋镇运输服务站于2023年列入省厅级建设补助项目，且已取得《道路运输经营许可证》。下洋镇运输服务站客、货运功能正常运营。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本项自评得分：2分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楷体" w:eastAsia="楷体_GB2312" w:cs="楷体"/>
          <w:b/>
          <w:bCs/>
          <w:sz w:val="32"/>
          <w:szCs w:val="32"/>
        </w:rPr>
      </w:pPr>
      <w:r>
        <w:rPr>
          <w:rFonts w:hint="eastAsia" w:ascii="楷体_GB2312" w:hAnsi="楷体" w:eastAsia="楷体_GB2312" w:cs="楷体"/>
          <w:b/>
          <w:bCs/>
          <w:sz w:val="32"/>
          <w:szCs w:val="32"/>
        </w:rPr>
        <w:t>4.其他考核因数系数（本项满分15分）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本项自评得分：0分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5.自评总分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综上，永春县202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年度农村客运站点发展补贴资金自评总分</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仿宋"/>
          <w:bCs/>
          <w:sz w:val="32"/>
          <w:szCs w:val="32"/>
        </w:rPr>
      </w:pPr>
      <w:r>
        <w:rPr>
          <w:rFonts w:hint="eastAsia" w:ascii="黑体" w:hAnsi="黑体" w:eastAsia="黑体" w:cs="仿宋"/>
          <w:bCs/>
          <w:sz w:val="32"/>
          <w:szCs w:val="32"/>
          <w:lang w:eastAsia="zh-CN"/>
        </w:rPr>
        <w:t>三</w:t>
      </w:r>
      <w:r>
        <w:rPr>
          <w:rFonts w:hint="eastAsia" w:ascii="黑体" w:hAnsi="黑体" w:eastAsia="黑体" w:cs="仿宋"/>
          <w:bCs/>
          <w:sz w:val="32"/>
          <w:szCs w:val="32"/>
        </w:rPr>
        <w:t>、等级客运站发展补贴资金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sz w:val="32"/>
          <w:szCs w:val="32"/>
        </w:rPr>
        <w:t>福建省泉运实业集团有限公司永春汽车站成立于2008年09月27日，注册地位于永春县城关南环路(桃溪)377号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永春汽车站占地5646.61平方米，建筑总面积3331.75平方米，停车场面积2314.86平方米，主要经营范围为客运站经营。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楷体" w:eastAsia="楷体_GB2312" w:cs="楷体"/>
          <w:b/>
          <w:bCs/>
          <w:sz w:val="32"/>
          <w:szCs w:val="32"/>
        </w:rPr>
      </w:pPr>
      <w:r>
        <w:rPr>
          <w:rFonts w:hint="eastAsia" w:ascii="楷体_GB2312" w:hAnsi="楷体" w:eastAsia="楷体_GB2312" w:cs="楷体"/>
          <w:b/>
          <w:bCs/>
          <w:sz w:val="32"/>
          <w:szCs w:val="32"/>
        </w:rPr>
        <w:t>1.地方出台扶持政策情况系数（本项满分10分）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highlight w:val="none"/>
        </w:rPr>
        <w:t>市、县两级政府无等级客运站项目各类资金扶持。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（2）地方政府未落实关于等级客运站土地用途混合使用政策。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本项自评得分：0分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楷体" w:eastAsia="楷体_GB2312" w:cs="楷体"/>
          <w:b/>
          <w:bCs/>
          <w:sz w:val="32"/>
          <w:szCs w:val="32"/>
        </w:rPr>
      </w:pPr>
      <w:r>
        <w:rPr>
          <w:rFonts w:hint="eastAsia" w:ascii="楷体_GB2312" w:hAnsi="楷体" w:eastAsia="楷体_GB2312" w:cs="楷体"/>
          <w:b/>
          <w:bCs/>
          <w:sz w:val="32"/>
          <w:szCs w:val="32"/>
        </w:rPr>
        <w:t>2.新、改扩建项目建设投资情况系数（本项满分40分）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福建省泉运实业集团有限公司永春汽车站未列入上年度省级建设计划客运站项目。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本项自评得分：0分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楷体" w:eastAsia="楷体_GB2312" w:cs="楷体"/>
          <w:b/>
          <w:bCs/>
          <w:sz w:val="32"/>
          <w:szCs w:val="32"/>
        </w:rPr>
      </w:pPr>
      <w:r>
        <w:rPr>
          <w:rFonts w:hint="eastAsia" w:ascii="楷体_GB2312" w:hAnsi="楷体" w:eastAsia="楷体_GB2312" w:cs="楷体"/>
          <w:b/>
          <w:bCs/>
          <w:sz w:val="32"/>
          <w:szCs w:val="32"/>
        </w:rPr>
        <w:t>3.已投入使用项目运营管理情况系数（本项满分50分）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福建省泉运实业集团有限公司永春汽车站为二级站且正常运营。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本项自评得分：5分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4、自评总分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
          <w:bCs/>
          <w:sz w:val="32"/>
          <w:szCs w:val="32"/>
        </w:rPr>
      </w:pPr>
      <w:r>
        <w:rPr>
          <w:rFonts w:hint="eastAsia" w:ascii="仿宋_GB2312" w:hAnsi="Times New Roman" w:eastAsia="仿宋_GB2312" w:cs="Times New Roman"/>
          <w:sz w:val="32"/>
          <w:szCs w:val="32"/>
        </w:rPr>
        <w:t>综上，永春县202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年度等级客运站发展补贴资金自评总分5分。</w:t>
      </w:r>
    </w:p>
    <w:p>
      <w:pPr>
        <w:rPr>
          <w:rFonts w:ascii="Times New Roman" w:hAnsi="Times New Roman" w:eastAsia="仿宋_GB2312" w:cs="Times New Roman"/>
          <w:b/>
          <w:bCs/>
          <w:sz w:val="32"/>
          <w:szCs w:val="32"/>
        </w:rPr>
      </w:pPr>
      <w:bookmarkStart w:id="0" w:name="_GoBack"/>
      <w:bookmarkEnd w:id="0"/>
    </w:p>
    <w:sectPr>
      <w:footerReference r:id="rId3" w:type="default"/>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简仿宋">
    <w:panose1 w:val="00000000000000000000"/>
    <w:charset w:val="00"/>
    <w:family w:val="auto"/>
    <w:pitch w:val="default"/>
    <w:sig w:usb0="00000000" w:usb1="00000000" w:usb2="00000000" w:usb3="00000000" w:csb0="000065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8129480"/>
      <w:docPartObj>
        <w:docPartGallery w:val="autotext"/>
      </w:docPartObj>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TFhYWZmYjg0NzE2Mjg2YTI2NWQxMzU4NTJlYzkifQ=="/>
  </w:docVars>
  <w:rsids>
    <w:rsidRoot w:val="143F5C21"/>
    <w:rsid w:val="00034334"/>
    <w:rsid w:val="000460CA"/>
    <w:rsid w:val="00072479"/>
    <w:rsid w:val="00073CD3"/>
    <w:rsid w:val="000A224F"/>
    <w:rsid w:val="000A5357"/>
    <w:rsid w:val="000C276F"/>
    <w:rsid w:val="000C4BF7"/>
    <w:rsid w:val="000C7E4F"/>
    <w:rsid w:val="000E01BC"/>
    <w:rsid w:val="000E0688"/>
    <w:rsid w:val="00106D8F"/>
    <w:rsid w:val="001100DC"/>
    <w:rsid w:val="0011628A"/>
    <w:rsid w:val="00126CFB"/>
    <w:rsid w:val="00127A9E"/>
    <w:rsid w:val="00146982"/>
    <w:rsid w:val="00163159"/>
    <w:rsid w:val="00164C6E"/>
    <w:rsid w:val="00197BE4"/>
    <w:rsid w:val="001D2BB8"/>
    <w:rsid w:val="001E6224"/>
    <w:rsid w:val="00200C72"/>
    <w:rsid w:val="00204956"/>
    <w:rsid w:val="00220DC9"/>
    <w:rsid w:val="0023046D"/>
    <w:rsid w:val="0024658D"/>
    <w:rsid w:val="00253E70"/>
    <w:rsid w:val="00254524"/>
    <w:rsid w:val="00265061"/>
    <w:rsid w:val="0029248E"/>
    <w:rsid w:val="00296C8D"/>
    <w:rsid w:val="002A1C00"/>
    <w:rsid w:val="002A493A"/>
    <w:rsid w:val="002C3AA5"/>
    <w:rsid w:val="002E294F"/>
    <w:rsid w:val="0031182A"/>
    <w:rsid w:val="00362AFC"/>
    <w:rsid w:val="00387AF3"/>
    <w:rsid w:val="00390700"/>
    <w:rsid w:val="003D40D8"/>
    <w:rsid w:val="003E17C8"/>
    <w:rsid w:val="00433239"/>
    <w:rsid w:val="00435DE9"/>
    <w:rsid w:val="00445521"/>
    <w:rsid w:val="004573ED"/>
    <w:rsid w:val="0046064D"/>
    <w:rsid w:val="00472E46"/>
    <w:rsid w:val="00483732"/>
    <w:rsid w:val="00496F9B"/>
    <w:rsid w:val="004D3E3B"/>
    <w:rsid w:val="004F5235"/>
    <w:rsid w:val="0050638F"/>
    <w:rsid w:val="00506AF4"/>
    <w:rsid w:val="00553B1C"/>
    <w:rsid w:val="00566592"/>
    <w:rsid w:val="005F1908"/>
    <w:rsid w:val="005F1CF7"/>
    <w:rsid w:val="006045C7"/>
    <w:rsid w:val="00612E17"/>
    <w:rsid w:val="0061388B"/>
    <w:rsid w:val="006318A9"/>
    <w:rsid w:val="006669DE"/>
    <w:rsid w:val="00694C55"/>
    <w:rsid w:val="006A29B5"/>
    <w:rsid w:val="006A41F5"/>
    <w:rsid w:val="006D6D29"/>
    <w:rsid w:val="007057E4"/>
    <w:rsid w:val="00713F31"/>
    <w:rsid w:val="007346DC"/>
    <w:rsid w:val="007828A1"/>
    <w:rsid w:val="00794FC0"/>
    <w:rsid w:val="007A080F"/>
    <w:rsid w:val="007B7301"/>
    <w:rsid w:val="007C0246"/>
    <w:rsid w:val="0081415B"/>
    <w:rsid w:val="00814EE8"/>
    <w:rsid w:val="00835D97"/>
    <w:rsid w:val="008432EF"/>
    <w:rsid w:val="00866758"/>
    <w:rsid w:val="00877AF8"/>
    <w:rsid w:val="00883E71"/>
    <w:rsid w:val="00897A0C"/>
    <w:rsid w:val="008D5198"/>
    <w:rsid w:val="008D6768"/>
    <w:rsid w:val="00905350"/>
    <w:rsid w:val="009133B2"/>
    <w:rsid w:val="00913E90"/>
    <w:rsid w:val="00916875"/>
    <w:rsid w:val="00921D58"/>
    <w:rsid w:val="009243F5"/>
    <w:rsid w:val="00927255"/>
    <w:rsid w:val="00946FF4"/>
    <w:rsid w:val="00971A01"/>
    <w:rsid w:val="009A1D2E"/>
    <w:rsid w:val="009A7A77"/>
    <w:rsid w:val="009C3D22"/>
    <w:rsid w:val="009E0E5E"/>
    <w:rsid w:val="00A05E8F"/>
    <w:rsid w:val="00A12CC1"/>
    <w:rsid w:val="00A508A5"/>
    <w:rsid w:val="00A66AD5"/>
    <w:rsid w:val="00A82015"/>
    <w:rsid w:val="00AB34E0"/>
    <w:rsid w:val="00AB4F88"/>
    <w:rsid w:val="00AC2A3E"/>
    <w:rsid w:val="00AE30DB"/>
    <w:rsid w:val="00B07C3D"/>
    <w:rsid w:val="00B71AAE"/>
    <w:rsid w:val="00B95FDF"/>
    <w:rsid w:val="00C020F1"/>
    <w:rsid w:val="00C20939"/>
    <w:rsid w:val="00C236EF"/>
    <w:rsid w:val="00C53DA8"/>
    <w:rsid w:val="00CA6C63"/>
    <w:rsid w:val="00CE0355"/>
    <w:rsid w:val="00D066A9"/>
    <w:rsid w:val="00D157FF"/>
    <w:rsid w:val="00D21215"/>
    <w:rsid w:val="00D27164"/>
    <w:rsid w:val="00D32375"/>
    <w:rsid w:val="00D34A55"/>
    <w:rsid w:val="00D43247"/>
    <w:rsid w:val="00D67A76"/>
    <w:rsid w:val="00DE1A6E"/>
    <w:rsid w:val="00E119C3"/>
    <w:rsid w:val="00E22528"/>
    <w:rsid w:val="00E27378"/>
    <w:rsid w:val="00E32E73"/>
    <w:rsid w:val="00E3539C"/>
    <w:rsid w:val="00E35EA2"/>
    <w:rsid w:val="00E3691E"/>
    <w:rsid w:val="00E37110"/>
    <w:rsid w:val="00E604AE"/>
    <w:rsid w:val="00E9680A"/>
    <w:rsid w:val="00EF5E16"/>
    <w:rsid w:val="00F62E19"/>
    <w:rsid w:val="00F91084"/>
    <w:rsid w:val="00F92C05"/>
    <w:rsid w:val="00F93878"/>
    <w:rsid w:val="00F95792"/>
    <w:rsid w:val="05C16391"/>
    <w:rsid w:val="06E31936"/>
    <w:rsid w:val="08C04492"/>
    <w:rsid w:val="0A981DFD"/>
    <w:rsid w:val="143265AE"/>
    <w:rsid w:val="143F5C21"/>
    <w:rsid w:val="14DB62E8"/>
    <w:rsid w:val="1DC0103A"/>
    <w:rsid w:val="22571DFF"/>
    <w:rsid w:val="238D2590"/>
    <w:rsid w:val="2F632924"/>
    <w:rsid w:val="2FAB42DC"/>
    <w:rsid w:val="3612133A"/>
    <w:rsid w:val="3ADE3291"/>
    <w:rsid w:val="3C9E74D7"/>
    <w:rsid w:val="3D004120"/>
    <w:rsid w:val="3EFF3333"/>
    <w:rsid w:val="3FFBBAD3"/>
    <w:rsid w:val="3FFFD9D0"/>
    <w:rsid w:val="455D18A7"/>
    <w:rsid w:val="46FB0FC6"/>
    <w:rsid w:val="4F4EC950"/>
    <w:rsid w:val="50F46C1A"/>
    <w:rsid w:val="59FD5DB1"/>
    <w:rsid w:val="5B793CD8"/>
    <w:rsid w:val="5DCD5A7E"/>
    <w:rsid w:val="5F518F9C"/>
    <w:rsid w:val="62190CEB"/>
    <w:rsid w:val="637E9A70"/>
    <w:rsid w:val="6E6C62E0"/>
    <w:rsid w:val="6FE361AF"/>
    <w:rsid w:val="76CD2186"/>
    <w:rsid w:val="775FEE97"/>
    <w:rsid w:val="77EDAAC4"/>
    <w:rsid w:val="7BCD5A96"/>
    <w:rsid w:val="7C7D48CE"/>
    <w:rsid w:val="7DCD733F"/>
    <w:rsid w:val="7EB7F102"/>
    <w:rsid w:val="7EBF2D8E"/>
    <w:rsid w:val="7EFF7656"/>
    <w:rsid w:val="7F074A21"/>
    <w:rsid w:val="7F2B0989"/>
    <w:rsid w:val="7F7D1BC4"/>
    <w:rsid w:val="7FBF1C9A"/>
    <w:rsid w:val="7FFC6776"/>
    <w:rsid w:val="7FFF2CC1"/>
    <w:rsid w:val="BDF429CC"/>
    <w:rsid w:val="BFF5DAF3"/>
    <w:rsid w:val="CDCB7CE1"/>
    <w:rsid w:val="D77ADAA5"/>
    <w:rsid w:val="DDFFEA7B"/>
    <w:rsid w:val="E97F0003"/>
    <w:rsid w:val="EFBE078C"/>
    <w:rsid w:val="EFF74937"/>
    <w:rsid w:val="F0FC2241"/>
    <w:rsid w:val="F6CF5D5E"/>
    <w:rsid w:val="FDEF5FB0"/>
    <w:rsid w:val="FE6F7C70"/>
    <w:rsid w:val="FF6BBC9D"/>
    <w:rsid w:val="FFB976C1"/>
    <w:rsid w:val="FFEBD5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after="120"/>
    </w:pPr>
    <w:rPr>
      <w:rFonts w:ascii="Times New Roman" w:hAnsi="Times New Roman" w:eastAsia="宋体" w:cs="Times New Roman"/>
    </w:rPr>
  </w:style>
  <w:style w:type="paragraph" w:styleId="3">
    <w:name w:val="Body Text Indent"/>
    <w:basedOn w:val="1"/>
    <w:link w:val="18"/>
    <w:qFormat/>
    <w:uiPriority w:val="0"/>
    <w:pPr>
      <w:spacing w:after="120"/>
      <w:ind w:left="420" w:leftChars="200"/>
    </w:pPr>
  </w:style>
  <w:style w:type="paragraph" w:styleId="4">
    <w:name w:val="Balloon Text"/>
    <w:basedOn w:val="1"/>
    <w:link w:val="15"/>
    <w:unhideWhenUsed/>
    <w:qFormat/>
    <w:uiPriority w:val="0"/>
    <w:rPr>
      <w:rFonts w:ascii="Times New Roman" w:hAnsi="Times New Roman" w:eastAsia="宋体" w:cs="Times New Roman"/>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link w:val="19"/>
    <w:unhideWhenUsed/>
    <w:qFormat/>
    <w:uiPriority w:val="99"/>
    <w:pPr>
      <w:ind w:firstLine="420" w:firstLineChars="200"/>
    </w:pPr>
    <w:rPr>
      <w:rFonts w:ascii="Calibri" w:hAnsi="Calibri"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qFormat/>
    <w:uiPriority w:val="0"/>
    <w:rPr>
      <w:rFonts w:asciiTheme="minorHAnsi" w:hAnsiTheme="minorHAnsi" w:eastAsiaTheme="minorEastAsia" w:cstheme="minorBidi"/>
      <w:kern w:val="2"/>
      <w:sz w:val="18"/>
      <w:szCs w:val="18"/>
    </w:rPr>
  </w:style>
  <w:style w:type="character" w:customStyle="1" w:styleId="13">
    <w:name w:val="页脚 Char"/>
    <w:basedOn w:val="11"/>
    <w:link w:val="5"/>
    <w:qFormat/>
    <w:uiPriority w:val="99"/>
    <w:rPr>
      <w:rFonts w:asciiTheme="minorHAnsi" w:hAnsiTheme="minorHAnsi" w:eastAsiaTheme="minorEastAsia" w:cstheme="minorBidi"/>
      <w:kern w:val="2"/>
      <w:sz w:val="18"/>
      <w:szCs w:val="18"/>
    </w:rPr>
  </w:style>
  <w:style w:type="character" w:customStyle="1" w:styleId="14">
    <w:name w:val="fontstyle11"/>
    <w:basedOn w:val="11"/>
    <w:qFormat/>
    <w:uiPriority w:val="0"/>
    <w:rPr>
      <w:rFonts w:hint="default" w:ascii="Times New Roman" w:hAnsi="Times New Roman" w:cs="Times New Roman"/>
      <w:color w:val="000000"/>
      <w:sz w:val="32"/>
      <w:szCs w:val="32"/>
    </w:rPr>
  </w:style>
  <w:style w:type="character" w:customStyle="1" w:styleId="15">
    <w:name w:val="批注框文本 Char"/>
    <w:basedOn w:val="11"/>
    <w:link w:val="4"/>
    <w:qFormat/>
    <w:uiPriority w:val="99"/>
    <w:rPr>
      <w:kern w:val="2"/>
      <w:sz w:val="18"/>
      <w:szCs w:val="18"/>
    </w:rPr>
  </w:style>
  <w:style w:type="character" w:customStyle="1" w:styleId="16">
    <w:name w:val="fontstyle31"/>
    <w:basedOn w:val="11"/>
    <w:qFormat/>
    <w:uiPriority w:val="0"/>
    <w:rPr>
      <w:rFonts w:hint="eastAsia" w:ascii="方正小标宋_GBK" w:eastAsia="方正小标宋_GBK"/>
      <w:color w:val="000000"/>
      <w:sz w:val="44"/>
      <w:szCs w:val="44"/>
    </w:rPr>
  </w:style>
  <w:style w:type="paragraph" w:styleId="17">
    <w:name w:val="List Paragraph"/>
    <w:basedOn w:val="1"/>
    <w:qFormat/>
    <w:uiPriority w:val="34"/>
    <w:pPr>
      <w:ind w:firstLine="420" w:firstLineChars="200"/>
    </w:pPr>
    <w:rPr>
      <w:szCs w:val="22"/>
    </w:rPr>
  </w:style>
  <w:style w:type="character" w:customStyle="1" w:styleId="18">
    <w:name w:val="正文文本缩进 Char"/>
    <w:basedOn w:val="11"/>
    <w:link w:val="3"/>
    <w:qFormat/>
    <w:uiPriority w:val="0"/>
    <w:rPr>
      <w:rFonts w:asciiTheme="minorHAnsi" w:hAnsiTheme="minorHAnsi" w:eastAsiaTheme="minorEastAsia" w:cstheme="minorBidi"/>
      <w:kern w:val="2"/>
      <w:sz w:val="21"/>
      <w:szCs w:val="24"/>
    </w:rPr>
  </w:style>
  <w:style w:type="character" w:customStyle="1" w:styleId="19">
    <w:name w:val="正文首行缩进 2 Char"/>
    <w:basedOn w:val="18"/>
    <w:link w:val="8"/>
    <w:qFormat/>
    <w:uiPriority w:val="99"/>
    <w:rPr>
      <w:rFonts w:ascii="Calibri" w:hAnsi="Calibri"/>
    </w:rPr>
  </w:style>
  <w:style w:type="character" w:customStyle="1" w:styleId="20">
    <w:name w:val="正文文本 Char"/>
    <w:basedOn w:val="11"/>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2420</Words>
  <Characters>2646</Characters>
  <Lines>35</Lines>
  <Paragraphs>10</Paragraphs>
  <TotalTime>0</TotalTime>
  <ScaleCrop>false</ScaleCrop>
  <LinksUpToDate>false</LinksUpToDate>
  <CharactersWithSpaces>2651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2023-07-17T00:10:00Z</dcterms:created>
  <dc:creator>三旬老汉</dc:creator>
  <cp:lastModifiedBy>admin</cp:lastModifiedBy>
  <cp:lastPrinted>2026-01-08T19:51:00Z</cp:lastPrinted>
  <dcterms:modified xsi:type="dcterms:W3CDTF">2026-01-22T11:39:36Z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41D190B8515B4266997639FC500C36E9_13</vt:lpwstr>
  </property>
  <property fmtid="{D5CDD505-2E9C-101B-9397-08002B2CF9AE}" pid="4" name="KSOTemplateDocerSaveRecord">
    <vt:lpwstr>eyJoZGlkIjoiNGE2NjdkODE1OTQ0OTgyOGMxZTk0MTllNTg4YWY5YmYiLCJ1c2VySWQiOiIzMjIwOTcyNDIifQ==</vt:lpwstr>
  </property>
</Properties>
</file>