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4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Arial" w:eastAsia="方正小标宋简体" w:cs="Arial"/>
          <w:color w:val="40404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Arial" w:eastAsia="方正小标宋简体" w:cs="Arial"/>
          <w:color w:val="40404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404040"/>
          <w:sz w:val="44"/>
          <w:szCs w:val="44"/>
        </w:rPr>
        <w:t>永春县2024年农村“厕所革命”整村推进</w:t>
      </w:r>
    </w:p>
    <w:p>
      <w:pPr>
        <w:spacing w:line="560" w:lineRule="exact"/>
        <w:jc w:val="center"/>
        <w:rPr>
          <w:rFonts w:ascii="方正小标宋简体" w:hAnsi="Arial" w:eastAsia="方正小标宋简体" w:cs="Arial"/>
          <w:color w:val="40404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404040"/>
          <w:sz w:val="44"/>
          <w:szCs w:val="44"/>
        </w:rPr>
        <w:t>财政奖补实施方案</w:t>
      </w:r>
    </w:p>
    <w:p>
      <w:pPr>
        <w:pStyle w:val="5"/>
        <w:autoSpaceDE w:val="0"/>
        <w:spacing w:line="560" w:lineRule="exact"/>
        <w:ind w:firstLine="64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根据《财政部 农业农村部关于开展农村“厕所革命”整村推进财政奖补工作的通知》（财农〔2019〕19号）和《福建省财政厅 福建省农业农村厅关于下达2024年农村“厕所革命”整村推进财政奖补资金的通知》（闽财农指〔2024〕23号）《福建省农村人居环境整治项目资金管理实施细则（试行）》的要求，为持续提升我县农村“厕所革命”整村推进工作，切实改善农村人居环境，结合我县实际，制定本实施方案。</w:t>
      </w:r>
    </w:p>
    <w:p>
      <w:pPr>
        <w:autoSpaceDE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一、目标任务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2024年，全县完成3个行政村农村“厕所革命”整村推进建设项目，持续提升农村改厕质量，推动建立长效管护机制。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、奖补方式、对象</w:t>
      </w:r>
      <w:r>
        <w:rPr>
          <w:rFonts w:ascii="黑体" w:hAnsi="黑体" w:eastAsia="黑体"/>
          <w:sz w:val="32"/>
          <w:szCs w:val="32"/>
        </w:rPr>
        <w:t>和使用范围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（一）奖补方式：</w:t>
      </w:r>
      <w:r>
        <w:rPr>
          <w:rFonts w:hint="eastAsia" w:ascii="仿宋_GB2312" w:eastAsia="仿宋_GB2312"/>
          <w:sz w:val="32"/>
          <w:szCs w:val="32"/>
        </w:rPr>
        <w:t>县农业农村局联合县财政局将2024年财政奖补资金60万下达到有关镇村，用于奖补行政村“厕所革命”设施设备建设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</w:rPr>
        <w:t>补助对象及金额</w:t>
      </w:r>
      <w:r>
        <w:rPr>
          <w:rFonts w:ascii="楷体_GB2312" w:eastAsia="楷体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锦斗镇云路村、仙夹镇龙湖村、湖洋镇锦凤村，根据项目村的建设内容及投资计划，每村补助20万元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（三）使用范围：</w:t>
      </w:r>
      <w:r>
        <w:rPr>
          <w:rFonts w:hint="eastAsia" w:ascii="仿宋_GB2312" w:eastAsia="仿宋_GB2312"/>
          <w:sz w:val="32"/>
          <w:szCs w:val="32"/>
        </w:rPr>
        <w:t>主要支持</w:t>
      </w:r>
      <w:r>
        <w:rPr>
          <w:rFonts w:hint="eastAsia" w:ascii="仿宋_GB2312" w:hAnsi="Times New Roman" w:eastAsia="仿宋_GB2312"/>
          <w:sz w:val="32"/>
          <w:szCs w:val="32"/>
        </w:rPr>
        <w:t>购建标准三格（四格）化粪池，建设无动力或微动力集中式污水处理设施或污水收集管网，购置吸粪车、吸污净化车及其他粪污收集、储存、运输、资源化利用和后期管护能力提升、农村公厕新（改建）等方面的设施设备建设</w:t>
      </w:r>
      <w:r>
        <w:rPr>
          <w:rFonts w:hint="eastAsia" w:ascii="仿宋_GB2312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</w:t>
      </w:r>
      <w:r>
        <w:rPr>
          <w:rFonts w:ascii="黑体" w:hAnsi="黑体" w:eastAsia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实施步骤</w:t>
      </w:r>
    </w:p>
    <w:p>
      <w:pPr>
        <w:autoSpaceDE w:val="0"/>
        <w:spacing w:line="56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按照“项目谋划—方案制定—项目实施—项目验收—资金下拨”等五个阶段分步实施。</w:t>
      </w:r>
      <w:r>
        <w:rPr>
          <w:rFonts w:ascii="仿宋_GB2312" w:eastAsia="仿宋_GB2312"/>
          <w:bCs/>
          <w:sz w:val="32"/>
          <w:szCs w:val="32"/>
        </w:rPr>
        <w:t>各乡（镇）是农村</w:t>
      </w:r>
      <w:r>
        <w:rPr>
          <w:rFonts w:hint="eastAsia" w:ascii="仿宋_GB2312" w:eastAsia="仿宋_GB2312"/>
          <w:bCs/>
          <w:sz w:val="32"/>
          <w:szCs w:val="32"/>
        </w:rPr>
        <w:t>“</w:t>
      </w:r>
      <w:r>
        <w:rPr>
          <w:rFonts w:ascii="仿宋_GB2312" w:eastAsia="仿宋_GB2312"/>
          <w:bCs/>
          <w:sz w:val="32"/>
          <w:szCs w:val="32"/>
        </w:rPr>
        <w:t>厕所革命</w:t>
      </w:r>
      <w:r>
        <w:rPr>
          <w:rFonts w:hint="eastAsia" w:ascii="仿宋_GB2312" w:eastAsia="仿宋_GB2312"/>
          <w:bCs/>
          <w:sz w:val="32"/>
          <w:szCs w:val="32"/>
        </w:rPr>
        <w:t>”</w:t>
      </w:r>
      <w:r>
        <w:rPr>
          <w:rFonts w:ascii="仿宋_GB2312" w:eastAsia="仿宋_GB2312"/>
          <w:bCs/>
          <w:sz w:val="32"/>
          <w:szCs w:val="32"/>
        </w:rPr>
        <w:t>工作责任主体和实施主体，要高度重视，</w:t>
      </w:r>
      <w:r>
        <w:rPr>
          <w:rFonts w:hint="eastAsia" w:ascii="仿宋_GB2312" w:eastAsia="仿宋_GB2312"/>
          <w:bCs/>
          <w:sz w:val="32"/>
          <w:szCs w:val="32"/>
        </w:rPr>
        <w:t>抓好项目方案制定，</w:t>
      </w:r>
      <w:r>
        <w:rPr>
          <w:rFonts w:ascii="仿宋_GB2312" w:eastAsia="仿宋_GB2312"/>
          <w:bCs/>
          <w:sz w:val="32"/>
          <w:szCs w:val="32"/>
        </w:rPr>
        <w:t>按照实施程序</w:t>
      </w:r>
      <w:r>
        <w:rPr>
          <w:rFonts w:hint="eastAsia" w:ascii="仿宋_GB2312" w:eastAsia="仿宋_GB2312"/>
          <w:bCs/>
          <w:sz w:val="32"/>
          <w:szCs w:val="32"/>
        </w:rPr>
        <w:t>、项目建设内容</w:t>
      </w:r>
      <w:r>
        <w:rPr>
          <w:rFonts w:ascii="仿宋_GB2312" w:eastAsia="仿宋_GB2312"/>
          <w:bCs/>
          <w:sz w:val="32"/>
          <w:szCs w:val="32"/>
        </w:rPr>
        <w:t>有序</w:t>
      </w:r>
      <w:r>
        <w:rPr>
          <w:rFonts w:hint="eastAsia" w:ascii="仿宋_GB2312" w:eastAsia="仿宋_GB2312"/>
          <w:bCs/>
          <w:sz w:val="32"/>
          <w:szCs w:val="32"/>
        </w:rPr>
        <w:t>推动</w:t>
      </w:r>
      <w:r>
        <w:rPr>
          <w:rFonts w:ascii="仿宋_GB2312" w:eastAsia="仿宋_GB2312"/>
          <w:bCs/>
          <w:sz w:val="32"/>
          <w:szCs w:val="32"/>
        </w:rPr>
        <w:t>落实，组织实施辖区内村</w:t>
      </w:r>
      <w:r>
        <w:rPr>
          <w:rFonts w:hint="eastAsia" w:ascii="仿宋_GB2312" w:eastAsia="仿宋_GB2312"/>
          <w:bCs/>
          <w:sz w:val="32"/>
          <w:szCs w:val="32"/>
        </w:rPr>
        <w:t>“</w:t>
      </w:r>
      <w:r>
        <w:rPr>
          <w:rFonts w:ascii="仿宋_GB2312" w:eastAsia="仿宋_GB2312"/>
          <w:bCs/>
          <w:sz w:val="32"/>
          <w:szCs w:val="32"/>
        </w:rPr>
        <w:t>厕所革命</w:t>
      </w:r>
      <w:r>
        <w:rPr>
          <w:rFonts w:hint="eastAsia" w:ascii="仿宋_GB2312" w:eastAsia="仿宋_GB2312"/>
          <w:bCs/>
          <w:sz w:val="32"/>
          <w:szCs w:val="32"/>
        </w:rPr>
        <w:t>”</w:t>
      </w:r>
      <w:r>
        <w:rPr>
          <w:rFonts w:ascii="仿宋_GB2312" w:eastAsia="仿宋_GB2312"/>
          <w:bCs/>
          <w:sz w:val="32"/>
          <w:szCs w:val="32"/>
        </w:rPr>
        <w:t>工作，确保按期保质保量完成工作任务。</w:t>
      </w:r>
      <w:r>
        <w:rPr>
          <w:rFonts w:hint="eastAsia" w:ascii="仿宋_GB2312" w:eastAsia="仿宋_GB2312"/>
          <w:bCs/>
          <w:sz w:val="32"/>
          <w:szCs w:val="32"/>
        </w:rPr>
        <w:t>项目实施单位在项目建设完成1个月内，及时向项目验收责任单位提交验收申请，验收责任单位在1个月内完成验收并给出验收结论。</w:t>
      </w:r>
    </w:p>
    <w:p>
      <w:pPr>
        <w:spacing w:line="560" w:lineRule="exact"/>
        <w:ind w:firstLine="640" w:firstLineChars="200"/>
        <w:rPr>
          <w:rFonts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四、保障措施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z w:val="32"/>
          <w:szCs w:val="32"/>
        </w:rPr>
        <w:t>（一）加强组织领导。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各有关乡镇要严格按照五级书记抓乡村振兴的要求，把改善农村人居环境作为党政一把手工程，贯彻落实好“乡镇做</w:t>
      </w:r>
      <w:r>
        <w:rPr>
          <w:rFonts w:hint="eastAsia" w:ascii="仿宋_GB2312" w:eastAsia="仿宋_GB2312"/>
          <w:sz w:val="32"/>
          <w:szCs w:val="32"/>
        </w:rPr>
        <w:t>好具体实施工作、村‘两委’承担直接责任”的工作机制，抓好农村“厕所革命”整村推进项目任务分工、实施、资源配置等工作，落实好上下衔接、域内协调、督促检查等。县直有关部门要认真按照各自工作职责，加强配合，共同推进农村“厕所革命”。</w:t>
      </w: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z w:val="32"/>
          <w:szCs w:val="32"/>
        </w:rPr>
        <w:t>（二）健全内业台账。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各有关乡镇要以“一户一档”的方式建立数据台账，及时准确掌握村里改厕动态工作，对相关数据进行严格核实，详细掌握农村改厕的基本信息，实行“建档立卡，逐个销号”。</w:t>
      </w:r>
      <w:r>
        <w:rPr>
          <w:rFonts w:ascii="仿宋_GB2312" w:eastAsia="仿宋_GB2312"/>
          <w:bCs/>
          <w:color w:val="000000"/>
          <w:sz w:val="32"/>
          <w:szCs w:val="32"/>
        </w:rPr>
        <w:t>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做好项目建设内业资料整理</w:t>
      </w:r>
      <w:r>
        <w:rPr>
          <w:rFonts w:ascii="仿宋_GB2312" w:eastAsia="仿宋_GB2312"/>
          <w:bCs/>
          <w:color w:val="000000"/>
          <w:sz w:val="32"/>
          <w:szCs w:val="32"/>
        </w:rPr>
        <w:t>，确保档案资料能够完整反映项目实施全过程。档案资料应包括实施方案、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招标信息</w:t>
      </w:r>
      <w:r>
        <w:rPr>
          <w:rFonts w:ascii="仿宋_GB2312" w:eastAsia="仿宋_GB2312"/>
          <w:bCs/>
          <w:color w:val="000000"/>
          <w:sz w:val="32"/>
          <w:szCs w:val="32"/>
        </w:rPr>
        <w:t>、公示资料、验收资料、资金拨付以及相关工作会议纪要等内容。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z w:val="32"/>
          <w:szCs w:val="32"/>
        </w:rPr>
        <w:t>（三）加强绩效管理。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各有关乡镇要严格对照绩效目标表，全面实施预算绩效管理的要求，建立健全全过程预算绩效管理机制，做好事前绩效评估，对照绩效目标做好绩效监控、绩效自评，适时开展重点绩效评价，强化绩效结果运用，做好绩效信息公开。</w:t>
      </w:r>
    </w:p>
    <w:p>
      <w:pPr>
        <w:spacing w:line="560" w:lineRule="exact"/>
        <w:ind w:firstLine="313" w:firstLineChars="98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eastAsia="楷体_GB2312"/>
          <w:bCs/>
          <w:color w:val="000000"/>
          <w:sz w:val="32"/>
          <w:szCs w:val="32"/>
        </w:rPr>
        <w:t>（四）强化资金监管。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建立健全督导考核机制，禁止将项目资金用于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大拆大建、“面子工程”、盲目造景、“门墙亭廊栏”“雕像、塑像、景观带”建设等方面。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对于骗取、套取、挤占、挪用和违规发放等行为，要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依照相关法律法规进行严肃处理</w:t>
      </w:r>
      <w:r>
        <w:rPr>
          <w:rFonts w:hint="eastAsia" w:ascii="仿宋_GB2312" w:eastAsia="仿宋_GB2312"/>
          <w:bCs/>
          <w:color w:val="000000"/>
          <w:spacing w:val="-6"/>
          <w:sz w:val="32"/>
          <w:szCs w:val="32"/>
        </w:rPr>
        <w:t>。县农业农村局、财政局要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规范资金管理使用的环节和流程、及时掌握资金管理使用情况。同时，各有关乡镇要及时公示公开资金使用情况，接受社会和群众监督，提供资金使用的透明度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。</w:t>
      </w:r>
    </w:p>
    <w:tbl>
      <w:tblPr>
        <w:tblStyle w:val="3"/>
        <w:tblW w:w="132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075"/>
        <w:gridCol w:w="1095"/>
        <w:gridCol w:w="1830"/>
        <w:gridCol w:w="2775"/>
        <w:gridCol w:w="1740"/>
        <w:gridCol w:w="1245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3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方正小标宋简体" w:eastAsia="方正小标宋简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color w:val="000000"/>
                <w:kern w:val="0"/>
                <w:sz w:val="40"/>
                <w:szCs w:val="40"/>
              </w:rPr>
              <w:t>永春县2024年农村“厕所革命”整村推进项目建设情况表</w:t>
            </w:r>
            <w:r>
              <w:rPr>
                <w:rFonts w:hint="eastAsia" w:ascii="方正小标宋简体" w:eastAsia="方正小标宋简体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</w:t>
            </w:r>
          </w:p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方正小标宋简体" w:eastAsia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实施期限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总投资额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4"/>
                <w:szCs w:val="24"/>
              </w:rPr>
              <w:t>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锦斗镇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云路村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云路村公厕所修建及粪污纳管工程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在云路村部旁边修建公厕1座：男厕蹲盆3个、小便池2个、女厕蹲盆3个及大三格化粪池1个；村庄角落粪污纳入管道集中处理，管道长约200米。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2024.7-2024.12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建成后将极大方便在休闲公园散步游玩村民的如厕需求，进一步提升环境。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仙夹镇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龙湖村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龙湖村莲湖公厕建设项目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新建标准三格化粪池公厕，建筑规模：40平方米，共建四间：男女各一间各3个蹲位、残疾人一间坐位，储藏室一间，工程建设概况地上一层，砖混结构。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2024.8-2024.10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25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改善农村人居环境，方便村民生活，提升村民生活品质。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湖洋镇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锦凤村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大草埔集中住宅小区污水管网建设工程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计划对锦凤村大草埔集中角落37户的污水管网进行建设并纳管，拟建设污水井19座，Φ300HDPE双壁波纹管(8kN/m2)342m，Φ400HDPE双壁波纹管(8kN/m2)280m，Φ150PVC-U排水管478m。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2024.6-2024.12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将小区内37户村民的粪污统一收集到污水处理池进行处理，进一步提升农村人居环境。</w:t>
            </w:r>
          </w:p>
        </w:tc>
      </w:tr>
    </w:tbl>
    <w:p>
      <w:pPr>
        <w:spacing w:line="560" w:lineRule="exact"/>
        <w:ind w:firstLine="313" w:firstLineChars="98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93D36E6"/>
    <w:rsid w:val="193D36E6"/>
    <w:rsid w:val="5DC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Text1I"/>
    <w:basedOn w:val="1"/>
    <w:qFormat/>
    <w:uiPriority w:val="0"/>
    <w:pPr>
      <w:spacing w:before="100" w:beforeAutospacing="1"/>
      <w:ind w:firstLine="420"/>
      <w:textAlignment w:val="baseline"/>
    </w:pPr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2024-07-02T13:20:00Z</dcterms:created>
  <dc:creator>黄衍杰</dc:creator>
  <cp:lastModifiedBy>黄衍杰</cp:lastModifiedBy>
  <dcterms:modified xsi:type="dcterms:W3CDTF">2024-07-02T13:48:21Z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E0083AEC4AA54354B414F5FCF6180FBB_11</vt:lpwstr>
  </property>
</Properties>
</file>