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rPr>
          <w:rStyle w:val="6"/>
          <w:rFonts w:hint="default" w:ascii="仿宋_GB2312" w:eastAsia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28"/>
        </w:rPr>
      </w:pPr>
      <w:bookmarkStart w:id="0" w:name="_GoBack"/>
      <w:r>
        <w:rPr>
          <w:rFonts w:hint="eastAsia" w:ascii="方正小标宋简体" w:hAnsi="仿宋_GB2312" w:eastAsia="方正小标宋简体"/>
          <w:sz w:val="44"/>
          <w:szCs w:val="28"/>
        </w:rPr>
        <w:t>2024年第</w:t>
      </w:r>
      <w:r>
        <w:rPr>
          <w:rFonts w:hint="eastAsia" w:ascii="方正小标宋简体" w:hAnsi="仿宋_GB2312" w:eastAsia="方正小标宋简体"/>
          <w:sz w:val="44"/>
          <w:szCs w:val="28"/>
          <w:lang w:eastAsia="zh-CN"/>
        </w:rPr>
        <w:t>二</w:t>
      </w:r>
      <w:r>
        <w:rPr>
          <w:rFonts w:hint="eastAsia" w:ascii="方正小标宋简体" w:hAnsi="仿宋_GB2312" w:eastAsia="方正小标宋简体"/>
          <w:sz w:val="44"/>
          <w:szCs w:val="28"/>
        </w:rPr>
        <w:t>批原中央苏区和革命老区转移支付资金绩效目标表</w:t>
      </w:r>
    </w:p>
    <w:bookmarkEnd w:id="0"/>
    <w:p>
      <w:pPr>
        <w:spacing w:line="300" w:lineRule="exact"/>
        <w:jc w:val="center"/>
        <w:rPr>
          <w:rFonts w:ascii="方正小标宋简体" w:hAnsi="仿宋_GB2312" w:eastAsia="方正小标宋简体"/>
          <w:sz w:val="44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26"/>
        <w:gridCol w:w="1560"/>
        <w:gridCol w:w="2059"/>
        <w:gridCol w:w="4178"/>
        <w:gridCol w:w="1134"/>
        <w:gridCol w:w="1134"/>
        <w:gridCol w:w="992"/>
        <w:gridCol w:w="11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项目名称</w:t>
            </w:r>
          </w:p>
        </w:tc>
        <w:tc>
          <w:tcPr>
            <w:tcW w:w="12158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2024年原中央苏区和革命老区转移支付资金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补助区域</w:t>
            </w:r>
          </w:p>
        </w:tc>
        <w:tc>
          <w:tcPr>
            <w:tcW w:w="12158" w:type="dxa"/>
            <w:gridSpan w:val="7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  <w:t>福建省永春县农垦发展有限公司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资金情况（万元）</w:t>
            </w:r>
          </w:p>
        </w:tc>
        <w:tc>
          <w:tcPr>
            <w:tcW w:w="3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资金总额</w:t>
            </w:r>
          </w:p>
        </w:tc>
        <w:tc>
          <w:tcPr>
            <w:tcW w:w="8539" w:type="dxa"/>
            <w:gridSpan w:val="5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8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其中：财政拨款</w:t>
            </w:r>
          </w:p>
        </w:tc>
        <w:tc>
          <w:tcPr>
            <w:tcW w:w="8539" w:type="dxa"/>
            <w:gridSpan w:val="5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总体目标</w:t>
            </w:r>
          </w:p>
        </w:tc>
        <w:tc>
          <w:tcPr>
            <w:tcW w:w="12158" w:type="dxa"/>
            <w:gridSpan w:val="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用于改善原中央苏区和革命老区人民群众生产生活条件的有关事务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包括教育、文化、社会保障、卫生等民生事务和乡村道路、饮水安全等设施的建设维护。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绩效指标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一级指标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二级指标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三级指标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指标解释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指标性质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指标方向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目标值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计量单位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成本指标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经济成本指标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上级补助金额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拨付财政预算安排补助资金金额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产出指标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数量指标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扶持项目数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补助资金扶持项目数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大于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质量指标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是否改善原中央苏区和革命老区人民群众生产生活条件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符合“改善原中央苏区和革命老区人民群众生产生活条件”的项目占比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100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时效指标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完成建设内容的占比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所扶持项目完成年度建设任务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等于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100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效益指标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经济效益指标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是否带动老区苏区产业发展、农民增收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带动老区苏区产业发展、农民增收的项目数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大于等于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社会效益指标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资金使用未发生违规违纪问题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资金使用是否发生违规违纪问题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反向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小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于等于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满意度指标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服务对象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满意度指标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服务对象满意度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考察群众满意度情况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正向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大于等于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95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A86"/>
    <w:rsid w:val="3F7F0A86"/>
    <w:rsid w:val="5E5F4A73"/>
    <w:rsid w:val="FDFE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2024-12-24T19:24:00Z</dcterms:created>
  <dc:creator>黄衍杰</dc:creator>
  <cp:lastModifiedBy>黄衍杰</cp:lastModifiedBy>
  <dcterms:modified xsi:type="dcterms:W3CDTF">2024-12-24T19:25:09Z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3DF82E4A62BB866D159A6A67F825446B</vt:lpwstr>
  </property>
</Properties>
</file>