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76" w:lineRule="exact"/>
        <w:textAlignment w:val="auto"/>
        <w:rPr>
          <w:rFonts w:hint="eastAsia" w:ascii="黑体" w:hAnsi="黑体" w:eastAsia="黑体" w:cs="黑体"/>
          <w:b w:val="0"/>
          <w:bCs/>
          <w:snapToGrid w:val="0"/>
          <w:kern w:val="0"/>
          <w:sz w:val="32"/>
          <w:szCs w:val="32"/>
          <w:lang w:val="en-US" w:eastAsia="zh-CN"/>
        </w:rPr>
      </w:pPr>
      <w:bookmarkStart w:id="0" w:name="_GoBack"/>
      <w:r>
        <w:rPr>
          <w:rFonts w:hint="eastAsia" w:ascii="黑体" w:hAnsi="黑体" w:eastAsia="黑体" w:cs="黑体"/>
          <w:b w:val="0"/>
          <w:bCs/>
          <w:snapToGrid w:val="0"/>
          <w:kern w:val="0"/>
          <w:sz w:val="32"/>
          <w:szCs w:val="32"/>
          <w:lang w:eastAsia="zh-CN"/>
        </w:rPr>
        <w:t>附件</w:t>
      </w:r>
      <w:r>
        <w:rPr>
          <w:rFonts w:hint="eastAsia" w:ascii="黑体" w:hAnsi="黑体" w:eastAsia="黑体" w:cs="黑体"/>
          <w:b w:val="0"/>
          <w:bCs/>
          <w:snapToGrid w:val="0"/>
          <w:kern w:val="0"/>
          <w:sz w:val="32"/>
          <w:szCs w:val="32"/>
          <w:lang w:val="en-US" w:eastAsia="zh-CN"/>
        </w:rPr>
        <w:t>1</w:t>
      </w:r>
    </w:p>
    <w:p>
      <w:pPr>
        <w:pStyle w:val="2"/>
        <w:keepNext w:val="0"/>
        <w:keepLines w:val="0"/>
        <w:pageBreakBefore w:val="0"/>
        <w:widowControl w:val="0"/>
        <w:kinsoku/>
        <w:wordWrap/>
        <w:overflowPunct w:val="0"/>
        <w:topLinePunct w:val="0"/>
        <w:autoSpaceDE/>
        <w:autoSpaceDN/>
        <w:bidi w:val="0"/>
        <w:adjustRightInd w:val="0"/>
        <w:snapToGrid w:val="0"/>
        <w:spacing w:line="576" w:lineRule="exact"/>
        <w:textAlignment w:val="auto"/>
        <w:rPr>
          <w:rFonts w:hint="eastAsia" w:ascii="仿宋_GB2312" w:hAnsi="仿宋_GB2312" w:eastAsia="仿宋_GB2312" w:cs="仿宋_GB2312"/>
          <w:snapToGrid w:val="0"/>
          <w:kern w:val="0"/>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b w:val="0"/>
          <w:bCs/>
          <w:snapToGrid w:val="0"/>
          <w:kern w:val="0"/>
          <w:sz w:val="44"/>
          <w:szCs w:val="44"/>
        </w:rPr>
      </w:pPr>
      <w:r>
        <w:rPr>
          <w:rFonts w:hint="eastAsia" w:ascii="方正小标宋简体" w:hAnsi="方正小标宋简体" w:eastAsia="方正小标宋简体" w:cs="方正小标宋简体"/>
          <w:b w:val="0"/>
          <w:bCs/>
          <w:snapToGrid w:val="0"/>
          <w:kern w:val="0"/>
          <w:sz w:val="44"/>
          <w:szCs w:val="44"/>
        </w:rPr>
        <w:t>福建省检验检测机构“双随机”监督检查清单</w:t>
      </w:r>
    </w:p>
    <w:p>
      <w:pPr>
        <w:keepNext w:val="0"/>
        <w:keepLines w:val="0"/>
        <w:pageBreakBefore w:val="0"/>
        <w:widowControl w:val="0"/>
        <w:kinsoku/>
        <w:wordWrap/>
        <w:overflowPunct w:val="0"/>
        <w:topLinePunct w:val="0"/>
        <w:autoSpaceDE/>
        <w:autoSpaceDN/>
        <w:bidi w:val="0"/>
        <w:adjustRightInd w:val="0"/>
        <w:snapToGrid w:val="0"/>
        <w:spacing w:line="576" w:lineRule="exact"/>
        <w:jc w:val="center"/>
        <w:textAlignment w:val="auto"/>
        <w:rPr>
          <w:rFonts w:hint="eastAsia" w:ascii="楷体_GB2312" w:hAnsi="楷体_GB2312" w:eastAsia="楷体_GB2312" w:cs="楷体_GB2312"/>
          <w:b/>
          <w:snapToGrid w:val="0"/>
          <w:color w:val="auto"/>
          <w:kern w:val="0"/>
          <w:sz w:val="32"/>
          <w:szCs w:val="32"/>
        </w:rPr>
      </w:pPr>
      <w:r>
        <w:rPr>
          <w:rFonts w:hint="eastAsia" w:ascii="楷体_GB2312" w:hAnsi="楷体_GB2312" w:eastAsia="楷体_GB2312" w:cs="楷体_GB2312"/>
          <w:b/>
          <w:snapToGrid w:val="0"/>
          <w:color w:val="auto"/>
          <w:kern w:val="0"/>
          <w:sz w:val="32"/>
          <w:szCs w:val="32"/>
        </w:rPr>
        <w:t>（</w:t>
      </w:r>
      <w:r>
        <w:rPr>
          <w:rFonts w:hint="eastAsia" w:ascii="楷体_GB2312" w:hAnsi="楷体_GB2312" w:eastAsia="楷体_GB2312" w:cs="楷体_GB2312"/>
          <w:b/>
          <w:snapToGrid w:val="0"/>
          <w:color w:val="auto"/>
          <w:kern w:val="0"/>
          <w:sz w:val="32"/>
          <w:szCs w:val="32"/>
          <w:lang w:eastAsia="zh-CN"/>
        </w:rPr>
        <w:t>通用</w:t>
      </w:r>
      <w:r>
        <w:rPr>
          <w:rFonts w:hint="eastAsia" w:ascii="楷体_GB2312" w:hAnsi="楷体_GB2312" w:eastAsia="楷体_GB2312" w:cs="楷体_GB2312"/>
          <w:b/>
          <w:snapToGrid w:val="0"/>
          <w:color w:val="auto"/>
          <w:kern w:val="0"/>
          <w:sz w:val="32"/>
          <w:szCs w:val="32"/>
        </w:rPr>
        <w:t>）</w:t>
      </w:r>
    </w:p>
    <w:bookmarkEnd w:id="0"/>
    <w:p>
      <w:pPr>
        <w:keepNext w:val="0"/>
        <w:keepLines w:val="0"/>
        <w:pageBreakBefore w:val="0"/>
        <w:widowControl w:val="0"/>
        <w:kinsoku/>
        <w:wordWrap/>
        <w:overflowPunct w:val="0"/>
        <w:topLinePunct w:val="0"/>
        <w:autoSpaceDE/>
        <w:autoSpaceDN/>
        <w:bidi w:val="0"/>
        <w:adjustRightInd w:val="0"/>
        <w:snapToGrid w:val="0"/>
        <w:spacing w:line="576" w:lineRule="exact"/>
        <w:textAlignment w:val="auto"/>
        <w:rPr>
          <w:rFonts w:hint="eastAsia" w:ascii="仿宋_GB2312" w:hAnsi="仿宋_GB2312" w:eastAsia="仿宋_GB2312" w:cs="仿宋_GB2312"/>
          <w:b/>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snapToGrid w:val="0"/>
          <w:kern w:val="0"/>
          <w:sz w:val="32"/>
          <w:szCs w:val="32"/>
        </w:rPr>
      </w:pPr>
      <w:r>
        <w:rPr>
          <w:rFonts w:hint="eastAsia" w:ascii="黑体" w:hAnsi="黑体" w:eastAsia="黑体" w:cs="黑体"/>
          <w:b w:val="0"/>
          <w:bCs/>
          <w:snapToGrid w:val="0"/>
          <w:kern w:val="0"/>
          <w:sz w:val="32"/>
          <w:szCs w:val="32"/>
        </w:rPr>
        <w:t>一、基本情况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spacing w:val="-6"/>
          <w:kern w:val="0"/>
          <w:sz w:val="32"/>
          <w:szCs w:val="32"/>
        </w:rPr>
      </w:pPr>
      <w:r>
        <w:rPr>
          <w:rFonts w:hint="eastAsia" w:ascii="仿宋_GB2312" w:hAnsi="仿宋_GB2312" w:eastAsia="仿宋_GB2312" w:cs="仿宋_GB2312"/>
          <w:b/>
          <w:snapToGrid w:val="0"/>
          <w:kern w:val="0"/>
          <w:sz w:val="32"/>
          <w:szCs w:val="32"/>
        </w:rPr>
        <w:t>1</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spacing w:val="-6"/>
          <w:kern w:val="0"/>
          <w:sz w:val="32"/>
          <w:szCs w:val="32"/>
        </w:rPr>
        <w:t>202</w:t>
      </w:r>
      <w:r>
        <w:rPr>
          <w:rFonts w:hint="eastAsia" w:ascii="仿宋_GB2312" w:hAnsi="仿宋_GB2312" w:eastAsia="仿宋_GB2312" w:cs="仿宋_GB2312"/>
          <w:b/>
          <w:snapToGrid w:val="0"/>
          <w:spacing w:val="-6"/>
          <w:kern w:val="0"/>
          <w:sz w:val="32"/>
          <w:szCs w:val="32"/>
          <w:lang w:val="en-US" w:eastAsia="zh-CN"/>
        </w:rPr>
        <w:t>3</w:t>
      </w:r>
      <w:r>
        <w:rPr>
          <w:rFonts w:hint="eastAsia" w:ascii="仿宋_GB2312" w:hAnsi="仿宋_GB2312" w:eastAsia="仿宋_GB2312" w:cs="仿宋_GB2312"/>
          <w:b/>
          <w:snapToGrid w:val="0"/>
          <w:spacing w:val="-6"/>
          <w:kern w:val="0"/>
          <w:sz w:val="32"/>
          <w:szCs w:val="32"/>
        </w:rPr>
        <w:t>年度检验检测机构自查表，确认机构</w:t>
      </w:r>
      <w:r>
        <w:rPr>
          <w:rFonts w:hint="eastAsia" w:ascii="仿宋_GB2312" w:hAnsi="仿宋_GB2312" w:eastAsia="仿宋_GB2312" w:cs="仿宋_GB2312"/>
          <w:b/>
          <w:snapToGrid w:val="0"/>
          <w:color w:val="auto"/>
          <w:spacing w:val="-6"/>
          <w:kern w:val="0"/>
          <w:sz w:val="32"/>
          <w:szCs w:val="32"/>
        </w:rPr>
        <w:t>是否</w:t>
      </w:r>
      <w:r>
        <w:rPr>
          <w:rFonts w:hint="eastAsia" w:ascii="仿宋_GB2312" w:hAnsi="仿宋_GB2312" w:eastAsia="仿宋_GB2312" w:cs="仿宋_GB2312"/>
          <w:b/>
          <w:snapToGrid w:val="0"/>
          <w:spacing w:val="-6"/>
          <w:kern w:val="0"/>
          <w:sz w:val="32"/>
          <w:szCs w:val="32"/>
        </w:rPr>
        <w:t>完成自查。</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 xml:space="preserve">未发现不符合  不符合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2</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省级资质认定证书是否在有效期内，确认机构的名称和主体是否与资质认定证书相符合。</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 xml:space="preserve">未发现不符合  不符合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snapToGrid w:val="0"/>
          <w:kern w:val="0"/>
          <w:sz w:val="32"/>
          <w:szCs w:val="32"/>
        </w:rPr>
      </w:pPr>
      <w:r>
        <w:rPr>
          <w:rFonts w:hint="eastAsia" w:ascii="黑体" w:hAnsi="黑体" w:eastAsia="黑体" w:cs="黑体"/>
          <w:b w:val="0"/>
          <w:bCs/>
          <w:snapToGrid w:val="0"/>
          <w:kern w:val="0"/>
          <w:sz w:val="32"/>
          <w:szCs w:val="32"/>
        </w:rPr>
        <w:t>二、体系文件</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snapToGrid w:val="0"/>
          <w:kern w:val="0"/>
          <w:sz w:val="32"/>
          <w:szCs w:val="32"/>
        </w:rPr>
        <w:t>3</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bCs/>
          <w:snapToGrid w:val="0"/>
          <w:kern w:val="0"/>
          <w:sz w:val="32"/>
          <w:szCs w:val="32"/>
        </w:rPr>
        <w:t>检验检测机构应建立适合自身特点的管理体系并有效运行。检验检测机构应建立和保持内部审核和管理评审的程序，内审员须经过培训，具备相应资格。检查最近一次的内审和管理评审记录。</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未发现不符合  不符合</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4</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体系文件是否</w:t>
      </w:r>
      <w:r>
        <w:rPr>
          <w:rFonts w:hint="eastAsia" w:ascii="仿宋_GB2312" w:hAnsi="仿宋_GB2312" w:eastAsia="仿宋_GB2312" w:cs="仿宋_GB2312"/>
          <w:b/>
          <w:snapToGrid w:val="0"/>
          <w:kern w:val="0"/>
          <w:sz w:val="32"/>
          <w:szCs w:val="32"/>
          <w:lang w:val="en-US" w:eastAsia="zh-CN"/>
        </w:rPr>
        <w:t>明确</w:t>
      </w:r>
      <w:r>
        <w:rPr>
          <w:rFonts w:hint="eastAsia" w:ascii="仿宋_GB2312" w:hAnsi="仿宋_GB2312" w:eastAsia="仿宋_GB2312" w:cs="仿宋_GB2312"/>
          <w:b/>
          <w:snapToGrid w:val="0"/>
          <w:kern w:val="0"/>
          <w:sz w:val="32"/>
          <w:szCs w:val="32"/>
        </w:rPr>
        <w:t>检验检测原始记录和报告保存期限不得少于6年的规定。随机抽取20份自202</w:t>
      </w:r>
      <w:r>
        <w:rPr>
          <w:rFonts w:hint="eastAsia" w:ascii="仿宋_GB2312" w:hAnsi="仿宋_GB2312" w:eastAsia="仿宋_GB2312" w:cs="仿宋_GB2312"/>
          <w:b/>
          <w:snapToGrid w:val="0"/>
          <w:kern w:val="0"/>
          <w:sz w:val="32"/>
          <w:szCs w:val="32"/>
          <w:lang w:val="en-US" w:eastAsia="zh-CN"/>
        </w:rPr>
        <w:t>2</w:t>
      </w:r>
      <w:r>
        <w:rPr>
          <w:rFonts w:hint="eastAsia" w:ascii="仿宋_GB2312" w:hAnsi="仿宋_GB2312" w:eastAsia="仿宋_GB2312" w:cs="仿宋_GB2312"/>
          <w:b/>
          <w:snapToGrid w:val="0"/>
          <w:kern w:val="0"/>
          <w:sz w:val="32"/>
          <w:szCs w:val="32"/>
        </w:rPr>
        <w:t>年</w:t>
      </w:r>
      <w:r>
        <w:rPr>
          <w:rFonts w:hint="eastAsia" w:ascii="仿宋_GB2312" w:hAnsi="仿宋_GB2312" w:eastAsia="仿宋_GB2312" w:cs="仿宋_GB2312"/>
          <w:b/>
          <w:snapToGrid w:val="0"/>
          <w:kern w:val="0"/>
          <w:sz w:val="32"/>
          <w:szCs w:val="32"/>
          <w:lang w:val="en-US" w:eastAsia="zh-CN"/>
        </w:rPr>
        <w:t>10</w:t>
      </w:r>
      <w:r>
        <w:rPr>
          <w:rFonts w:hint="eastAsia" w:ascii="仿宋_GB2312" w:hAnsi="仿宋_GB2312" w:eastAsia="仿宋_GB2312" w:cs="仿宋_GB2312"/>
          <w:b/>
          <w:snapToGrid w:val="0"/>
          <w:kern w:val="0"/>
          <w:sz w:val="32"/>
          <w:szCs w:val="32"/>
        </w:rPr>
        <w:t>月1日至检查当日的报告和原始记录，检查是否保存完整。特殊行业另有明确要求，依其规定，如刑事技术鉴定机构是不少于30年。</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 xml:space="preserve">未发现不符合  不符合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5</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体系文件（组织架构图）、报告和原始记录中的检验检测场所信息，异地分支机构或多场所是否取得资质认定或在同一资质认定证书范围内。只检查开展检验检测工作的场所，不检查异地办公场所。</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 xml:space="preserve">未发现不符合  不符合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snapToGrid w:val="0"/>
          <w:kern w:val="0"/>
          <w:sz w:val="32"/>
          <w:szCs w:val="32"/>
        </w:rPr>
      </w:pPr>
      <w:r>
        <w:rPr>
          <w:rFonts w:hint="eastAsia" w:ascii="黑体" w:hAnsi="黑体" w:eastAsia="黑体" w:cs="黑体"/>
          <w:b w:val="0"/>
          <w:bCs/>
          <w:snapToGrid w:val="0"/>
          <w:kern w:val="0"/>
          <w:sz w:val="32"/>
          <w:szCs w:val="32"/>
        </w:rPr>
        <w:t>三、人员</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6</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报告是否由授权签字人签发。</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 xml:space="preserve">未发现不符合  不符合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7</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报告的专业领域是否在授权签字人的被授权范围内。</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 xml:space="preserve">未发现不符合  不符合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snapToGrid w:val="0"/>
          <w:kern w:val="0"/>
          <w:sz w:val="32"/>
          <w:szCs w:val="32"/>
        </w:rPr>
      </w:pPr>
      <w:r>
        <w:rPr>
          <w:rFonts w:hint="eastAsia" w:ascii="黑体" w:hAnsi="黑体" w:eastAsia="黑体" w:cs="黑体"/>
          <w:b w:val="0"/>
          <w:bCs/>
          <w:snapToGrid w:val="0"/>
          <w:kern w:val="0"/>
          <w:sz w:val="32"/>
          <w:szCs w:val="32"/>
        </w:rPr>
        <w:t>四、报告和原始记录</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8</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报告中是否注明正确的检验检测依据。</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 xml:space="preserve">未发现不符合  不符合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9</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报告中的检验检测依据（标准、技术规范、方法或项目参数等）是否在资质认定证书能力附表范围内。</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 xml:space="preserve">未发现不符合  不符合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10</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所抽取的报告，相关原始记录登记表和原始记录是否存在缺失或不完整的情况。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 xml:space="preserve">未发现不符合  不符合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11</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原始记录是否缺少主检人和校核人签字、原始记录命名、编号、仪器设备、样品处理条件、计算公式、日期等信息和数据。</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 xml:space="preserve">未发现不符合  不符合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12</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检查原始记录、仪器设备管理档案、环境监测记录、标准物质使用情况等，核对现场相关的设备、设施、环境、检验材料、标准物质等。</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 xml:space="preserve">未发现不符合  不符合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13</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报告和原始记录中是否存在未按标准或技术规范规定的方法、程序和要求，实施检验检测，并无法说明原因和实际检验检测方法的。</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 xml:space="preserve">未发现不符合  不符合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14</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报告和原始记录上是否有伪造签名的嫌疑。</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 xml:space="preserve">未发现不符合  不符合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15</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报告和原始记录，是否存在报告与检验检测结果不一致、检验检测结果与原始数据不一致，且无法溯源的情况。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 xml:space="preserve">未发现不符合  不符合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16</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纸质数据与电子存储记录是否一致。</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 xml:space="preserve">未发现不符合  不符合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17</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对能够自动保存电子记录或数据的仪器设备，检查其是否按要求保存记录或数据。</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 xml:space="preserve">未发现不符合  不符合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18</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报告、记录、数据、委托书的时间是否真实可靠、逻辑关系</w:t>
      </w:r>
      <w:r>
        <w:rPr>
          <w:rFonts w:hint="eastAsia" w:ascii="仿宋_GB2312" w:hAnsi="仿宋_GB2312" w:eastAsia="仿宋_GB2312" w:cs="仿宋_GB2312"/>
          <w:b/>
          <w:snapToGrid w:val="0"/>
          <w:color w:val="auto"/>
          <w:kern w:val="0"/>
          <w:sz w:val="32"/>
          <w:szCs w:val="32"/>
          <w:lang w:val="en-US" w:eastAsia="zh-CN"/>
        </w:rPr>
        <w:t>是否</w:t>
      </w:r>
      <w:r>
        <w:rPr>
          <w:rFonts w:hint="eastAsia" w:ascii="仿宋_GB2312" w:hAnsi="仿宋_GB2312" w:eastAsia="仿宋_GB2312" w:cs="仿宋_GB2312"/>
          <w:b/>
          <w:snapToGrid w:val="0"/>
          <w:kern w:val="0"/>
          <w:sz w:val="32"/>
          <w:szCs w:val="32"/>
        </w:rPr>
        <w:t>合理。</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未发现不符合  不符合</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19</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询问是否有可以实现非法修改、非法自动生成检测数据的仪器设备或者软件程序，进行修改或生成检验检测数据。</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 xml:space="preserve">未发现不符合  不符合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20</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spacing w:val="-6"/>
          <w:kern w:val="0"/>
          <w:sz w:val="32"/>
          <w:szCs w:val="32"/>
        </w:rPr>
        <w:t>是否有漏检关键检验检测项目、干扰检验检测过程或者改动关键检验检测项目，</w:t>
      </w:r>
      <w:r>
        <w:rPr>
          <w:rFonts w:hint="eastAsia" w:ascii="仿宋_GB2312" w:hAnsi="仿宋_GB2312" w:eastAsia="仿宋_GB2312" w:cs="仿宋_GB2312"/>
          <w:b/>
          <w:snapToGrid w:val="0"/>
          <w:kern w:val="0"/>
          <w:sz w:val="32"/>
          <w:szCs w:val="32"/>
        </w:rPr>
        <w:t>造成检验检测数据或者结果错误的情况。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 xml:space="preserve">未发现不符合  不符合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snapToGrid w:val="0"/>
          <w:kern w:val="0"/>
          <w:sz w:val="32"/>
          <w:szCs w:val="32"/>
        </w:rPr>
      </w:pPr>
      <w:r>
        <w:rPr>
          <w:rFonts w:hint="eastAsia" w:ascii="黑体" w:hAnsi="黑体" w:eastAsia="黑体" w:cs="黑体"/>
          <w:b w:val="0"/>
          <w:bCs/>
          <w:snapToGrid w:val="0"/>
          <w:kern w:val="0"/>
          <w:sz w:val="32"/>
          <w:szCs w:val="32"/>
        </w:rPr>
        <w:t>五、现场过程</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21</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报告和原始记录中涉及的关键检验检测设备，是否存在明显不具备检验检测能力的情况。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 xml:space="preserve">未发现不符合  不符合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spacing w:val="6"/>
          <w:kern w:val="0"/>
          <w:sz w:val="32"/>
          <w:szCs w:val="32"/>
        </w:rPr>
      </w:pPr>
      <w:r>
        <w:rPr>
          <w:rFonts w:hint="eastAsia" w:ascii="仿宋_GB2312" w:hAnsi="仿宋_GB2312" w:eastAsia="仿宋_GB2312" w:cs="仿宋_GB2312"/>
          <w:b/>
          <w:snapToGrid w:val="0"/>
          <w:kern w:val="0"/>
          <w:sz w:val="32"/>
          <w:szCs w:val="32"/>
        </w:rPr>
        <w:t>22</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spacing w:val="6"/>
          <w:kern w:val="0"/>
          <w:sz w:val="32"/>
          <w:szCs w:val="32"/>
        </w:rPr>
        <w:t>环境条件是否存在明显不符合标准或技术规范要求的情况。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未发现不符合  不符合</w:t>
      </w:r>
      <w:r>
        <w:rPr>
          <w:rFonts w:hint="eastAsia" w:ascii="仿宋_GB2312" w:hAnsi="仿宋_GB2312" w:eastAsia="仿宋_GB2312" w:cs="仿宋_GB2312"/>
          <w:b/>
          <w:snapToGrid w:val="0"/>
          <w:color w:val="C00000"/>
          <w:kern w:val="0"/>
          <w:sz w:val="32"/>
          <w:szCs w:val="32"/>
        </w:rPr>
        <w:t xml:space="preserve">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snapToGrid w:val="0"/>
          <w:kern w:val="0"/>
          <w:sz w:val="32"/>
          <w:szCs w:val="32"/>
        </w:rPr>
      </w:pPr>
      <w:r>
        <w:rPr>
          <w:rFonts w:hint="eastAsia" w:ascii="黑体" w:hAnsi="黑体" w:eastAsia="黑体" w:cs="黑体"/>
          <w:b w:val="0"/>
          <w:bCs/>
          <w:snapToGrid w:val="0"/>
          <w:kern w:val="0"/>
          <w:sz w:val="32"/>
          <w:szCs w:val="32"/>
        </w:rPr>
        <w:t>六、分包（适用时）</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23</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报告中是否存在分包行为。如有，检查体系文件，是否有分包管理程序，是否定期评价分包方并建立合格分包方名录。</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未发现不符合  不符合  不适用</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24</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分包是否有业务委托人的书面同意。其他管理文件另有明确规定不能分包的情况，如CCC检测项目不得分包。</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snapToGrid w:val="0"/>
          <w:kern w:val="0"/>
          <w:sz w:val="32"/>
          <w:szCs w:val="32"/>
        </w:rPr>
        <w:tab/>
      </w:r>
      <w:r>
        <w:rPr>
          <w:rFonts w:hint="eastAsia" w:ascii="仿宋_GB2312" w:hAnsi="仿宋_GB2312" w:eastAsia="仿宋_GB2312" w:cs="仿宋_GB2312"/>
          <w:b/>
          <w:snapToGrid w:val="0"/>
          <w:kern w:val="0"/>
          <w:sz w:val="32"/>
          <w:szCs w:val="32"/>
        </w:rPr>
        <w:t xml:space="preserve">未发现不符合  不符合  不适用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25</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分包方的资质认定证书、授权能力范围附表、证书有效期等是否满足分包要求。</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未发现不符合  不符合  不适用</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26</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报告中是否按规定标注了分包方名称、分包项目等内容。</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未发现不符合  不符合  不适用</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27</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是否与分包方签署了分包协议，分包协议的时间范围应覆盖分包活动，分包方是否按协议提供报告或数据。</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未发现不符合  不符合  不适用</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snapToGrid w:val="0"/>
          <w:kern w:val="0"/>
          <w:sz w:val="32"/>
          <w:szCs w:val="32"/>
        </w:rPr>
      </w:pPr>
      <w:r>
        <w:rPr>
          <w:rFonts w:hint="eastAsia" w:ascii="黑体" w:hAnsi="黑体" w:eastAsia="黑体" w:cs="黑体"/>
          <w:b w:val="0"/>
          <w:bCs/>
          <w:snapToGrid w:val="0"/>
          <w:kern w:val="0"/>
          <w:sz w:val="32"/>
          <w:szCs w:val="32"/>
        </w:rPr>
        <w:t>七、能力验证</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28</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机构是否已参加或计划参加强制要求的能力验证或比对项目。</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未发现不符合  不符合  不适用</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snapToGrid w:val="0"/>
          <w:kern w:val="0"/>
          <w:sz w:val="32"/>
          <w:szCs w:val="32"/>
        </w:rPr>
      </w:pPr>
      <w:r>
        <w:rPr>
          <w:rFonts w:hint="eastAsia" w:ascii="黑体" w:hAnsi="黑体" w:eastAsia="黑体" w:cs="黑体"/>
          <w:b w:val="0"/>
          <w:bCs/>
          <w:snapToGrid w:val="0"/>
          <w:kern w:val="0"/>
          <w:sz w:val="32"/>
          <w:szCs w:val="32"/>
        </w:rPr>
        <w:t>八、信息上报</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29</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询问机构是否按要求上报202</w:t>
      </w:r>
      <w:r>
        <w:rPr>
          <w:rFonts w:hint="eastAsia" w:ascii="仿宋_GB2312" w:hAnsi="仿宋_GB2312" w:eastAsia="仿宋_GB2312" w:cs="仿宋_GB2312"/>
          <w:b/>
          <w:snapToGrid w:val="0"/>
          <w:kern w:val="0"/>
          <w:sz w:val="32"/>
          <w:szCs w:val="32"/>
          <w:lang w:val="en-US" w:eastAsia="zh-CN"/>
        </w:rPr>
        <w:t>3</w:t>
      </w:r>
      <w:r>
        <w:rPr>
          <w:rFonts w:hint="eastAsia" w:ascii="仿宋_GB2312" w:hAnsi="仿宋_GB2312" w:eastAsia="仿宋_GB2312" w:cs="仿宋_GB2312"/>
          <w:b/>
          <w:snapToGrid w:val="0"/>
          <w:kern w:val="0"/>
          <w:sz w:val="32"/>
          <w:szCs w:val="32"/>
        </w:rPr>
        <w:t>年年度报告、统计数据。</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未发现不符合  不符合  不适用</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snapToGrid w:val="0"/>
          <w:kern w:val="0"/>
          <w:sz w:val="32"/>
          <w:szCs w:val="32"/>
        </w:rPr>
      </w:pPr>
      <w:r>
        <w:rPr>
          <w:rFonts w:hint="eastAsia" w:ascii="黑体" w:hAnsi="黑体" w:eastAsia="黑体" w:cs="黑体"/>
          <w:b w:val="0"/>
          <w:bCs/>
          <w:snapToGrid w:val="0"/>
          <w:kern w:val="0"/>
          <w:sz w:val="32"/>
          <w:szCs w:val="32"/>
        </w:rPr>
        <w:t>九、变更情况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30</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检查机构法人、最高管理者、机构名称、地址</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标准、授权签字人等出现变更，是否按要求办理手续。</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 xml:space="preserve">未发现不符合  不符合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lang w:eastAsia="zh-CN"/>
        </w:rPr>
      </w:pPr>
      <w:r>
        <w:rPr>
          <w:rFonts w:hint="eastAsia" w:ascii="仿宋_GB2312" w:hAnsi="仿宋_GB2312" w:eastAsia="仿宋_GB2312" w:cs="仿宋_GB2312"/>
          <w:b/>
          <w:snapToGrid w:val="0"/>
          <w:kern w:val="0"/>
          <w:sz w:val="32"/>
          <w:szCs w:val="32"/>
        </w:rPr>
        <w:t>31</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对照资质认定证书，检查营业执照、法人证书或授权文件上的名称、地址、法人性质等信息是否一致（机构已申请变更但由于客观因素还未完成的除外）</w:t>
      </w:r>
      <w:r>
        <w:rPr>
          <w:rFonts w:hint="eastAsia" w:ascii="仿宋_GB2312" w:hAnsi="仿宋_GB2312" w:eastAsia="仿宋_GB2312" w:cs="仿宋_GB2312"/>
          <w:b/>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 xml:space="preserve">未发现不符合  不符合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lang w:eastAsia="zh-CN"/>
        </w:rPr>
      </w:pPr>
      <w:r>
        <w:rPr>
          <w:rFonts w:hint="eastAsia" w:ascii="仿宋_GB2312" w:hAnsi="仿宋_GB2312" w:eastAsia="仿宋_GB2312" w:cs="仿宋_GB2312"/>
          <w:b/>
          <w:snapToGrid w:val="0"/>
          <w:kern w:val="0"/>
          <w:sz w:val="32"/>
          <w:szCs w:val="32"/>
        </w:rPr>
        <w:t>32</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体系文件中授权签字人与实际是否一致（机构已申请变更但由于客观因素还未完成的除外）</w:t>
      </w:r>
      <w:r>
        <w:rPr>
          <w:rFonts w:hint="eastAsia" w:ascii="仿宋_GB2312" w:hAnsi="仿宋_GB2312" w:eastAsia="仿宋_GB2312" w:cs="仿宋_GB2312"/>
          <w:b/>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 xml:space="preserve">未发现不符合  不符合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lang w:val="en-US" w:eastAsia="zh-CN"/>
        </w:rPr>
      </w:pPr>
      <w:r>
        <w:rPr>
          <w:rFonts w:hint="eastAsia" w:ascii="仿宋_GB2312" w:hAnsi="仿宋_GB2312" w:eastAsia="仿宋_GB2312" w:cs="仿宋_GB2312"/>
          <w:b/>
          <w:snapToGrid w:val="0"/>
          <w:kern w:val="0"/>
          <w:sz w:val="32"/>
          <w:szCs w:val="32"/>
        </w:rPr>
        <w:t>33</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资质认定证书能力附表中是否存在废止或过期的标准或方法，且未向资质认定管理部门申请办理变更的。</w:t>
      </w:r>
      <w:r>
        <w:rPr>
          <w:rFonts w:hint="eastAsia" w:ascii="仿宋_GB2312" w:hAnsi="仿宋_GB2312" w:eastAsia="仿宋_GB2312" w:cs="仿宋_GB2312"/>
          <w:b/>
          <w:snapToGrid w:val="0"/>
          <w:kern w:val="0"/>
          <w:sz w:val="32"/>
          <w:szCs w:val="32"/>
          <w:lang w:val="en-US" w:eastAsia="zh-CN"/>
        </w:rPr>
        <w:t>（客观因素包括但不限于以下情况的除外：1.新旧标准同时存在于能力附表中；2.机构已申请变更，但资质认定部门还未批复（备案）；3.无法取得相关标准文本等）。</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 xml:space="preserve">未发现不符合  不符合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snapToGrid w:val="0"/>
          <w:kern w:val="0"/>
          <w:sz w:val="32"/>
          <w:szCs w:val="32"/>
        </w:rPr>
      </w:pPr>
      <w:r>
        <w:rPr>
          <w:rFonts w:hint="eastAsia" w:ascii="黑体" w:hAnsi="黑体" w:eastAsia="黑体" w:cs="黑体"/>
          <w:b w:val="0"/>
          <w:bCs/>
          <w:snapToGrid w:val="0"/>
          <w:kern w:val="0"/>
          <w:sz w:val="32"/>
          <w:szCs w:val="32"/>
        </w:rPr>
        <w:t>十、证书标志使用</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34</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报告出具时间是否在资质认定证书有效期内。</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 xml:space="preserve">未发现不符合  不符合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35</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是否存在伪造、变造、冒用、租借资质认定证书和标志的情况。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 xml:space="preserve">未发现不符合  不符合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36</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是否有行政处罚/处理的整改期，整改期内是否出具加盖CMA标志的报告。</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 xml:space="preserve">未发现不符合  不符合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37</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是否发现其他错误使用资质认定标志的情形。</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 xml:space="preserve">未发现不符合  不符合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snapToGrid w:val="0"/>
          <w:kern w:val="0"/>
          <w:sz w:val="32"/>
          <w:szCs w:val="32"/>
        </w:rPr>
      </w:pPr>
      <w:r>
        <w:rPr>
          <w:rFonts w:hint="eastAsia" w:ascii="黑体" w:hAnsi="黑体" w:eastAsia="黑体" w:cs="黑体"/>
          <w:b w:val="0"/>
          <w:bCs/>
          <w:snapToGrid w:val="0"/>
          <w:kern w:val="0"/>
          <w:sz w:val="32"/>
          <w:szCs w:val="32"/>
        </w:rPr>
        <w:t>十一、耗材使用情况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38</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标准物质、化学试剂等耗材的使用数量和购置时间是否存在明显不符合实际的情况。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 xml:space="preserve">未发现不符合  不符合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snapToGrid w:val="0"/>
          <w:kern w:val="0"/>
          <w:sz w:val="32"/>
          <w:szCs w:val="32"/>
        </w:rPr>
      </w:pPr>
      <w:r>
        <w:rPr>
          <w:rFonts w:hint="eastAsia" w:ascii="黑体" w:hAnsi="黑体" w:eastAsia="黑体" w:cs="黑体"/>
          <w:b w:val="0"/>
          <w:bCs/>
          <w:snapToGrid w:val="0"/>
          <w:kern w:val="0"/>
          <w:sz w:val="32"/>
          <w:szCs w:val="32"/>
        </w:rPr>
        <w:t>十二、公正性情况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39</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询问机构承担国地抽等政府抽查业务的情况。关注承接被抽查对象委托的检验检测业务，询问业务数量、委托时间及占总业务量的份额。</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未发现不符合  不符合  不适用</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snapToGrid w:val="0"/>
          <w:kern w:val="0"/>
          <w:sz w:val="32"/>
          <w:szCs w:val="32"/>
        </w:rPr>
      </w:pPr>
      <w:r>
        <w:rPr>
          <w:rFonts w:hint="eastAsia" w:ascii="黑体" w:hAnsi="黑体" w:eastAsia="黑体" w:cs="黑体"/>
          <w:b w:val="0"/>
          <w:bCs/>
          <w:snapToGrid w:val="0"/>
          <w:kern w:val="0"/>
          <w:sz w:val="32"/>
          <w:szCs w:val="32"/>
        </w:rPr>
        <w:t>十三、综合因素</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40</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检查中发现的其他问题。</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核查结果</w:t>
      </w:r>
      <w:r>
        <w:rPr>
          <w:rFonts w:hint="eastAsia" w:ascii="仿宋_GB2312" w:hAnsi="仿宋_GB2312" w:eastAsia="仿宋_GB2312" w:cs="仿宋_GB2312"/>
          <w:b/>
          <w:snapToGrid w:val="0"/>
          <w:kern w:val="0"/>
          <w:sz w:val="32"/>
          <w:szCs w:val="32"/>
          <w:lang w:eastAsia="zh-CN"/>
        </w:rPr>
        <w:t>：</w:t>
      </w:r>
      <w:r>
        <w:rPr>
          <w:rFonts w:hint="eastAsia" w:ascii="仿宋_GB2312" w:hAnsi="仿宋_GB2312" w:eastAsia="仿宋_GB2312" w:cs="仿宋_GB2312"/>
          <w:b/>
          <w:snapToGrid w:val="0"/>
          <w:kern w:val="0"/>
          <w:sz w:val="32"/>
          <w:szCs w:val="32"/>
        </w:rPr>
        <w:t xml:space="preserve">未发现不符合  不符合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snapToGrid w:val="0"/>
          <w:kern w:val="0"/>
          <w:sz w:val="32"/>
          <w:szCs w:val="32"/>
        </w:rPr>
      </w:pPr>
      <w:r>
        <w:rPr>
          <w:rFonts w:hint="eastAsia" w:ascii="黑体" w:hAnsi="黑体" w:eastAsia="黑体" w:cs="黑体"/>
          <w:b w:val="0"/>
          <w:bCs/>
          <w:snapToGrid w:val="0"/>
          <w:kern w:val="0"/>
          <w:sz w:val="32"/>
          <w:szCs w:val="32"/>
        </w:rPr>
        <w:t>十四、检查现场检查组合影及检查过程照片（3张左右）</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lang w:eastAsia="zh-CN"/>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snapToGrid w:val="0"/>
          <w:kern w:val="0"/>
          <w:sz w:val="32"/>
          <w:szCs w:val="32"/>
        </w:rPr>
      </w:pPr>
      <w:r>
        <w:rPr>
          <w:rFonts w:hint="eastAsia" w:ascii="黑体" w:hAnsi="黑体" w:eastAsia="黑体" w:cs="黑体"/>
          <w:b w:val="0"/>
          <w:bCs/>
          <w:snapToGrid w:val="0"/>
          <w:kern w:val="0"/>
          <w:sz w:val="32"/>
          <w:szCs w:val="32"/>
        </w:rPr>
        <w:t>十五、检查组成员廉洁自律声明拍照上传</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snapToGrid w:val="0"/>
          <w:kern w:val="0"/>
          <w:sz w:val="32"/>
          <w:szCs w:val="32"/>
        </w:rPr>
      </w:pPr>
      <w:r>
        <w:rPr>
          <w:rFonts w:hint="eastAsia" w:ascii="黑体" w:hAnsi="黑体" w:eastAsia="黑体" w:cs="黑体"/>
          <w:b w:val="0"/>
          <w:bCs/>
          <w:snapToGrid w:val="0"/>
          <w:kern w:val="0"/>
          <w:sz w:val="32"/>
          <w:szCs w:val="32"/>
        </w:rPr>
        <w:t>十六、总体评价及处理建议（包括被检查机构问题确认单等）</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snapToGrid w:val="0"/>
          <w:color w:val="auto"/>
          <w:kern w:val="0"/>
          <w:sz w:val="32"/>
          <w:szCs w:val="32"/>
        </w:rPr>
      </w:pPr>
      <w:r>
        <w:rPr>
          <w:rFonts w:hint="eastAsia" w:ascii="仿宋_GB2312" w:hAnsi="仿宋_GB2312" w:eastAsia="仿宋_GB2312" w:cs="仿宋_GB2312"/>
          <w:b w:val="0"/>
          <w:bCs/>
          <w:snapToGrid w:val="0"/>
          <w:color w:val="auto"/>
          <w:kern w:val="0"/>
          <w:sz w:val="32"/>
          <w:szCs w:val="32"/>
        </w:rPr>
        <w:t>意见类型</w:t>
      </w:r>
      <w:r>
        <w:rPr>
          <w:rFonts w:hint="eastAsia" w:ascii="仿宋_GB2312" w:hAnsi="仿宋_GB2312" w:eastAsia="仿宋_GB2312" w:cs="仿宋_GB2312"/>
          <w:b w:val="0"/>
          <w:bCs/>
          <w:snapToGrid w:val="0"/>
          <w:color w:val="auto"/>
          <w:kern w:val="0"/>
          <w:sz w:val="32"/>
          <w:szCs w:val="32"/>
          <w:lang w:eastAsia="zh-CN"/>
        </w:rPr>
        <w:t>：</w:t>
      </w:r>
      <w:r>
        <w:rPr>
          <w:rFonts w:hint="eastAsia" w:ascii="仿宋_GB2312" w:hAnsi="仿宋_GB2312" w:eastAsia="仿宋_GB2312" w:cs="仿宋_GB2312"/>
          <w:b w:val="0"/>
          <w:bCs/>
          <w:snapToGrid w:val="0"/>
          <w:color w:val="auto"/>
          <w:kern w:val="0"/>
          <w:sz w:val="32"/>
          <w:szCs w:val="32"/>
        </w:rPr>
        <w:t>提醒纠正 责令限期改正 责令限期改正并进一步调查</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rPr>
        <w:t>核查说明</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snapToGrid w:val="0"/>
          <w:color w:val="C00000"/>
          <w:kern w:val="0"/>
          <w:sz w:val="32"/>
          <w:szCs w:val="32"/>
          <w:lang w:eastAsia="zh-CN"/>
        </w:rPr>
      </w:pPr>
      <w:r>
        <w:rPr>
          <w:rFonts w:hint="eastAsia" w:ascii="仿宋_GB2312" w:hAnsi="仿宋_GB2312" w:eastAsia="仿宋_GB2312" w:cs="仿宋_GB2312"/>
          <w:snapToGrid w:val="0"/>
          <w:kern w:val="0"/>
          <w:sz w:val="32"/>
          <w:szCs w:val="32"/>
        </w:rPr>
        <w:t>辅证材料</w:t>
      </w:r>
      <w:r>
        <w:rPr>
          <w:rFonts w:hint="eastAsia" w:ascii="仿宋_GB2312" w:hAnsi="仿宋_GB2312" w:eastAsia="仿宋_GB2312" w:cs="仿宋_GB2312"/>
          <w:snapToGrid w:val="0"/>
          <w:kern w:val="0"/>
          <w:sz w:val="32"/>
          <w:szCs w:val="32"/>
          <w:lang w:eastAsia="zh-CN"/>
        </w:rPr>
        <w:t>：</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jYmZhMGY4NTBjYzcwNTA4MzNmMjFhOTBhMjM5YjEifQ=="/>
    <w:docVar w:name="KSO_WPS_MARK_KEY" w:val="8c74a616-2be6-49e4-85d2-949ea13caafd"/>
  </w:docVars>
  <w:rsids>
    <w:rsidRoot w:val="31164118"/>
    <w:rsid w:val="31164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widowControl w:val="0"/>
      <w:suppressAutoHyphens/>
      <w:ind w:firstLine="420" w:firstLineChars="200"/>
      <w:jc w:val="both"/>
    </w:pPr>
    <w:rPr>
      <w:rFonts w:ascii="Calibri" w:hAnsi="Calibri" w:eastAsia="仿宋" w:cs="Times New Roman"/>
      <w:kern w:val="2"/>
      <w:sz w:val="32"/>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2954</Words>
  <Characters>3045</Characters>
  <Lines>0</Lines>
  <Paragraphs>0</Paragraphs>
  <TotalTime>1</TotalTime>
  <ScaleCrop>false</ScaleCrop>
  <LinksUpToDate>false</LinksUpToDate>
  <CharactersWithSpaces>3205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2024-10-24T02:55:00Z</dcterms:created>
  <dc:creator>Only</dc:creator>
  <cp:lastModifiedBy>Only</cp:lastModifiedBy>
  <dcterms:modified xsi:type="dcterms:W3CDTF">2024-10-24T02:56:36Z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34127C3B9E5E479E9D743E584EF9016C_11</vt:lpwstr>
  </property>
</Properties>
</file>