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EE" w:rsidRDefault="00BD14EE" w:rsidP="00BD14EE">
      <w:pPr>
        <w:pStyle w:val="1"/>
        <w:autoSpaceDE w:val="0"/>
        <w:autoSpaceDN w:val="0"/>
        <w:spacing w:line="560" w:lineRule="exact"/>
        <w:ind w:left="0" w:right="2154" w:firstLine="0"/>
        <w:jc w:val="center"/>
        <w:rPr>
          <w:rFonts w:ascii="方正小标宋简体" w:eastAsia="方正小标宋简体" w:hAnsi="方正小标宋简体" w:cs="Times New Roman"/>
          <w:color w:val="231F20"/>
          <w:spacing w:val="-9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231F20"/>
          <w:spacing w:val="-9"/>
          <w:sz w:val="44"/>
          <w:szCs w:val="44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color w:val="231F20"/>
          <w:spacing w:val="-9"/>
          <w:sz w:val="44"/>
          <w:szCs w:val="44"/>
        </w:rPr>
        <w:t>永春县市场监管领域部门联合抽查事项清单（</w:t>
      </w:r>
      <w:r>
        <w:rPr>
          <w:rFonts w:ascii="方正小标宋简体" w:eastAsia="方正小标宋简体" w:hAnsi="方正小标宋简体" w:cs="方正小标宋简体"/>
          <w:color w:val="231F20"/>
          <w:spacing w:val="-9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231F20"/>
          <w:spacing w:val="-9"/>
          <w:sz w:val="44"/>
          <w:szCs w:val="44"/>
        </w:rPr>
        <w:t>年版）</w:t>
      </w:r>
    </w:p>
    <w:p w:rsidR="00BD14EE" w:rsidRDefault="00BD14EE" w:rsidP="00BD14EE">
      <w:pPr>
        <w:rPr>
          <w:rFonts w:cs="Times New Roman"/>
        </w:rPr>
      </w:pPr>
    </w:p>
    <w:tbl>
      <w:tblPr>
        <w:tblW w:w="14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1769"/>
        <w:gridCol w:w="4530"/>
        <w:gridCol w:w="2295"/>
        <w:gridCol w:w="2110"/>
        <w:gridCol w:w="2505"/>
      </w:tblGrid>
      <w:tr w:rsidR="00BD14EE" w:rsidTr="005840ED">
        <w:trPr>
          <w:trHeight w:val="511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楷体" w:eastAsia="楷体" w:hAnsi="楷体" w:cs="楷体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楷体" w:eastAsia="楷体" w:hAnsi="楷体" w:cs="楷体" w:hint="eastAsia"/>
                <w:sz w:val="28"/>
                <w:szCs w:val="28"/>
              </w:rPr>
              <w:t>抽查领域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楷体" w:eastAsia="楷体" w:hAnsi="楷体" w:cs="楷体" w:hint="eastAsia"/>
                <w:sz w:val="28"/>
                <w:szCs w:val="28"/>
              </w:rPr>
              <w:t>抽查事项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楷体" w:eastAsia="楷体" w:hAnsi="楷体" w:cs="楷体" w:hint="eastAsia"/>
                <w:sz w:val="28"/>
                <w:szCs w:val="28"/>
              </w:rPr>
              <w:t>检查对象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楷体" w:eastAsia="楷体" w:hAnsi="楷体" w:cs="楷体" w:hint="eastAsia"/>
                <w:sz w:val="28"/>
                <w:szCs w:val="28"/>
              </w:rPr>
              <w:t>发起部门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楷体" w:eastAsia="楷体" w:hAnsi="楷体" w:cs="楷体" w:hint="eastAsia"/>
                <w:sz w:val="28"/>
                <w:szCs w:val="28"/>
              </w:rPr>
              <w:t>配合部门</w:t>
            </w:r>
          </w:p>
        </w:tc>
      </w:tr>
      <w:tr w:rsidR="00BD14EE" w:rsidTr="005840ED">
        <w:trPr>
          <w:trHeight w:val="927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学校办学情况抽查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学校食堂食品安全情况的检查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各类学校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教育局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68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学校招生、办学情况的检查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教育局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95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校车交通安全检查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配备校车的学校和校车服务提供者履行校车安全管理职责情况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配备校车的中小学校和幼儿园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教育局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交通运输局</w:t>
            </w:r>
          </w:p>
        </w:tc>
      </w:tr>
      <w:tr w:rsidR="00BD14EE" w:rsidTr="005840ED">
        <w:trPr>
          <w:trHeight w:val="97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校外培训机构抽查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培训内容、培训班次、招生对象、教师资格检查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面向中小学生的有办学许可证的校外培训机构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教育局</w:t>
            </w:r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86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其他经营行为检查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29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企业年度报告抽查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年度报告公示信息的检查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企业年报信息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人社局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县工信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统计局、泉州海关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永春监管科</w:t>
            </w:r>
          </w:p>
        </w:tc>
      </w:tr>
      <w:tr w:rsidR="00BD14EE" w:rsidTr="005840ED">
        <w:trPr>
          <w:trHeight w:val="126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5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机动车检验机构检测情况抽查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机动车排放检验情况和设备使用情况检查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机动车排放检验单位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生态环境局</w:t>
            </w:r>
          </w:p>
        </w:tc>
      </w:tr>
      <w:tr w:rsidR="00BD14EE" w:rsidTr="005840ED">
        <w:trPr>
          <w:trHeight w:val="120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机动车安全性能检查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机动车安全检验机构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</w:t>
            </w:r>
          </w:p>
        </w:tc>
      </w:tr>
      <w:tr w:rsidR="00BD14EE" w:rsidTr="005840ED">
        <w:trPr>
          <w:trHeight w:val="1124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保安行业相关单位抽查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对保安服务公司、保安培训单位的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的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保安行业相关单位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</w:t>
            </w:r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83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对自行招用保安员单位的检查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74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爆破作业单位抽查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民用爆破物仓储情况的检查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爆破作业单位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</w:t>
            </w:r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应急局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等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57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爆破作业单位有关制度情况检查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68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爆破作业单位作业情况的检查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90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宾馆、旅店监督抽查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宾馆、旅店取得许可证情况检查：公安负责检查宾馆、旅店是否按要求取得《特种行业许可证》以及项目变更情况，房间数、楼层数等与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lastRenderedPageBreak/>
              <w:t>核定的情况是否一致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lastRenderedPageBreak/>
              <w:t>各类宾馆、旅店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卫健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县工信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商务局等相关部门</w:t>
            </w:r>
          </w:p>
        </w:tc>
      </w:tr>
      <w:tr w:rsidR="00BD14EE" w:rsidTr="005840ED">
        <w:trPr>
          <w:trHeight w:val="954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宾馆、旅店卫生情况的检查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卫健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555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36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宾馆、旅店治安安全情况检查：出入口、紧急通道畅通情况，安全指示、警示标志设置情况，防火、防盗设施安装情况；是否建立落实住宿验证登记、访客管理、贵重物品保管和值班巡查等安全管理制度；是否在旅馆内存放易燃易爆、剧毒、放射性等危险物品；是否按要求建立旅馆业治安管理信息系统，并落实有关制度和措施；是否按要求安装安全防范监控系统，监控室各项管理措施是否落实；有无淫秽色情表演、卖淫嫖娼、赌博、吸毒、贩毒以及其他违法犯罪活动。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</w:t>
            </w: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89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涉消耗臭氧层物质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lastRenderedPageBreak/>
              <w:t>（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）的生产、使用、销售、维修、回收、销毁及原料用途等企业和单位的监管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生产、销售、使用活动的检查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生产、销售、使用单位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生态环境局</w:t>
            </w:r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应急管理局、泉州海关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永春监管科</w:t>
            </w:r>
          </w:p>
        </w:tc>
      </w:tr>
      <w:tr w:rsidR="00BD14EE" w:rsidTr="005840ED">
        <w:trPr>
          <w:trHeight w:val="160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含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有关设备的维修报废、回收再利用或销毁等经营活动的检查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含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有关设备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维修报废、回收再利用或销毁等经营单位和个人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90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副产四氯化碳（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CTC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）的甲烷氯化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物企业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销售和处置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CTC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情况的检查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副产四氯化碳（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CTC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）的甲烷氯化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物企业</w:t>
            </w:r>
            <w:proofErr w:type="gramEnd"/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44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使用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作为化工原料用途的企业的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采购和使用情况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使用</w:t>
            </w: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ODS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作为化工原料的企业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41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0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生态环境监测机构监督检查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生态环境监测机构开展监测情况的检查、对生态环境监测机构资质认定许可事项的监督检查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生态环境监测机构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90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政工程监督检查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城镇污水处理设施污染防治情况的检查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城镇污水处理厂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城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管理局</w:t>
            </w:r>
          </w:p>
        </w:tc>
      </w:tr>
      <w:tr w:rsidR="00BD14EE" w:rsidTr="005840ED">
        <w:trPr>
          <w:trHeight w:val="84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交通运输行业监管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道路危险货物运输企业检查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道路危险货物运输企业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交通运输局</w:t>
            </w:r>
          </w:p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应急管理局、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税务局</w:t>
            </w:r>
          </w:p>
        </w:tc>
      </w:tr>
      <w:tr w:rsidR="00BD14EE" w:rsidTr="005840ED">
        <w:trPr>
          <w:trHeight w:val="67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网约车平台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企业经营行为检查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网约车平台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企业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97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spacing w:before="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道路运输车辆达标管理情况检查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机动车综合性能检测站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01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项目参建单位原材料、构配件、混合料、工程实体等检验情况的检查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工程参建单位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101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农业转基因生物安全检查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农业转基因生物安全监督检查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从事农业转基因生物研究、试验、生产、加工、经营和进出口活动的单位和个人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农业农村局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119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牲畜养殖加工情况检查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种畜禽质量监督检查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从事种畜禽生产经营的单位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农业农村局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113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农业生产资料监管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农药监督检查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农药生产经营者、农药登记试验单位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农业农村局</w:t>
            </w:r>
          </w:p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90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肥料监督检查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肥料生产经营者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71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种子监督检查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种子生产经营者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91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兽药监督检查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兽药生产经营、兽药使用单位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03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饲料、饲料添加剂监督抽查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饲料和饲料添加剂生产经营企业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353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16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林草种子生产经营检查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对生产经营设施、设备及专业技术人员；植物新品种引种；林木种子的品种、地点和经营范围；林木种子生产经营许可有效区域及设立分支机构；生产经营档案；林木种子标签保有及填写；林木种子质量；林木种子生产经营许可证（良种）等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林草种子生产经营者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林业局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121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17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消防产品检查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使用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领域消防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产品质量监督检查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使用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领域消防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产品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消防救援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大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队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1609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影剧院、游艺厅等取得《娱乐场所许可证》企业检查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影剧院、录像厅（室）、游艺厅（室）、舞厅、音乐厅取得、公示相关许可证及其他情况的检查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影剧院、录像厅（室）、游艺厅（室）、舞厅、音乐厅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文旅局、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卫健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163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影剧院、录像厅（室）、游艺厅（室）、舞厅、音乐厅卫生状况及卫生制度的检查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卫健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32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19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经营性互联网文化单位的检查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经营性互联网文化单位经营情况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经营性互联网文化单位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文旅局</w:t>
            </w:r>
            <w:proofErr w:type="gramEnd"/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税务局</w:t>
            </w:r>
          </w:p>
        </w:tc>
      </w:tr>
      <w:tr w:rsidR="00BD14EE" w:rsidTr="005840ED">
        <w:trPr>
          <w:trHeight w:val="103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0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营业性演出经营活动从业单位的检查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营业性演出经营活动从业单位取得许可证情况的检查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营业性演出从业单位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文旅局</w:t>
            </w:r>
            <w:proofErr w:type="gramEnd"/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97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营业性演出经营活动从业单位经营情况的检查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017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艺术品经营单位的检查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艺术品经营单位从事艺术品经营活动的检查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艺术品经营单位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文旅局</w:t>
            </w:r>
            <w:proofErr w:type="gramEnd"/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78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艺术品经营单位备案情况的检查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73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旅行社行业监管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旅行社取得许可证情况的检查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旅行社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文旅局</w:t>
            </w:r>
            <w:proofErr w:type="gramEnd"/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交通运输局</w:t>
            </w:r>
          </w:p>
        </w:tc>
      </w:tr>
      <w:tr w:rsidR="00BD14EE" w:rsidTr="005840ED">
        <w:trPr>
          <w:trHeight w:val="57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旅行社经营情况的检查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08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通过网络经营旅行社业务抽查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77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发布旅游经营信息网站抽查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316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cs="Times New Roman"/>
                <w:color w:val="231F20"/>
                <w:sz w:val="22"/>
                <w:szCs w:val="22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工业企业安全生产情况的检查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工业企业取得安全生产许可证情况的检查及安全生产有关制度设置、落实等情况的检查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各类工业企业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应急管理局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181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2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cs="Times New Roman"/>
                <w:color w:val="231F20"/>
                <w:sz w:val="22"/>
                <w:szCs w:val="22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房地产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场监督执法检查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房地产开发企业资质及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场行为监督管理；物业服务企业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场行为监督管理；房地产估价机构、房地产经纪机构及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场行为监督管理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房地产从业单位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住建局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lef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县自然资源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224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cs="Times New Roman"/>
                <w:color w:val="231F20"/>
                <w:sz w:val="22"/>
                <w:szCs w:val="22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建筑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场监督执法检查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项目建设单位发包行为、基本建设手续办理、合同履约情况的检查；施工单位承包分包行为、工程款支付、劳务实名制落实情况、合同履约情况的检查；参建各方行为检查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建筑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场从业单位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住建局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90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26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科技项目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科技计划项目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科技项目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科技局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90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27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cs="Times New Roman"/>
                <w:color w:val="231F20"/>
                <w:sz w:val="22"/>
                <w:szCs w:val="22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单用途商业预付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卡监督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单用途商业预付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卡资金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管理；单用途商业预付卡法律责任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单用途商业预付卡发卡企业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县工信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847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28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汽车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新车销售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新车销售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场经营主体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发改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税务局</w:t>
            </w:r>
          </w:p>
        </w:tc>
      </w:tr>
      <w:tr w:rsidR="00BD14EE" w:rsidTr="005840ED">
        <w:trPr>
          <w:trHeight w:val="1087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二手车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二手车交易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场、二手车经营主体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税务局</w:t>
            </w:r>
          </w:p>
        </w:tc>
      </w:tr>
      <w:tr w:rsidR="00BD14EE" w:rsidTr="005840ED">
        <w:trPr>
          <w:trHeight w:val="104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报废机动车回收拆解活动监管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报废机动车回收拆解企业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生态环境局、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发改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交通运输局</w:t>
            </w:r>
          </w:p>
        </w:tc>
      </w:tr>
      <w:tr w:rsidR="00BD14EE" w:rsidTr="005840ED">
        <w:trPr>
          <w:trHeight w:val="122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机动车环保信息公开检查</w:t>
            </w:r>
          </w:p>
        </w:tc>
        <w:tc>
          <w:tcPr>
            <w:tcW w:w="229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机动车销售企业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生态环境局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县工信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</w:t>
            </w:r>
          </w:p>
        </w:tc>
      </w:tr>
      <w:tr w:rsidR="00BD14EE" w:rsidTr="005840ED">
        <w:trPr>
          <w:trHeight w:val="122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机动车获得强制性产品认证情况检查</w:t>
            </w:r>
          </w:p>
        </w:tc>
        <w:tc>
          <w:tcPr>
            <w:tcW w:w="229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县工信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</w:t>
            </w:r>
          </w:p>
        </w:tc>
      </w:tr>
      <w:tr w:rsidR="00BD14EE" w:rsidTr="005840ED">
        <w:trPr>
          <w:trHeight w:val="122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29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涉嫌税收违法当事人的抽查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涉嫌税收违法的纳税人、扣缴义务人和其他涉税当事人的检查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涉嫌税收违法当事人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税务局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  <w:tr w:rsidR="00BD14EE" w:rsidTr="005840ED">
        <w:trPr>
          <w:trHeight w:val="2487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0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燃气经营监督执法检查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燃气经营许可证取得情况的检查；燃气经营监督执法检查；燃气管道等特种设备使用监督检查；站点日常消防安全检查；非法储存、倒灌、销售液化气行为查处；危险货物运输监管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燃气经营企业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城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管理局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公安局、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交通运输局</w:t>
            </w:r>
          </w:p>
        </w:tc>
      </w:tr>
      <w:tr w:rsidR="00BD14EE" w:rsidTr="005840ED">
        <w:trPr>
          <w:trHeight w:val="159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3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出口商品生产企业的检查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检查企业海关备案基本信息情况；检查企业诚信情况；检查企业质量安全管理体系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出口商品生产企业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泉州海关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永春监管科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税务局</w:t>
            </w:r>
          </w:p>
        </w:tc>
      </w:tr>
      <w:tr w:rsidR="00BD14EE" w:rsidTr="005840ED">
        <w:trPr>
          <w:trHeight w:val="1372"/>
          <w:jc w:val="center"/>
        </w:trPr>
        <w:tc>
          <w:tcPr>
            <w:tcW w:w="808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769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劳动用工监管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各类用人单位（与劳动者建立劳动关系）工资支付情况检查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各类用人单位（与劳动者建立劳动关系）</w:t>
            </w:r>
          </w:p>
        </w:tc>
        <w:tc>
          <w:tcPr>
            <w:tcW w:w="2110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人社局</w:t>
            </w:r>
            <w:proofErr w:type="gramEnd"/>
          </w:p>
        </w:tc>
        <w:tc>
          <w:tcPr>
            <w:tcW w:w="2505" w:type="dxa"/>
            <w:vMerge w:val="restart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992"/>
          <w:jc w:val="center"/>
        </w:trPr>
        <w:tc>
          <w:tcPr>
            <w:tcW w:w="808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劳务派遣用工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劳务派遣相关单位</w:t>
            </w:r>
          </w:p>
        </w:tc>
        <w:tc>
          <w:tcPr>
            <w:tcW w:w="2110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</w:p>
        </w:tc>
      </w:tr>
      <w:tr w:rsidR="00BD14EE" w:rsidTr="005840ED">
        <w:trPr>
          <w:trHeight w:val="105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养老服务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养老服务质量检查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养老服务机构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民政局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108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经营高危险性体育项目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对游泳（场）馆、攀岩场地是否符合开放经营标准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游泳（场）馆、攀岩场地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文旅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场监管局、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卫健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局</w:t>
            </w:r>
            <w:proofErr w:type="gramEnd"/>
          </w:p>
        </w:tc>
      </w:tr>
      <w:tr w:rsidR="00BD14EE" w:rsidTr="005840ED">
        <w:trPr>
          <w:trHeight w:val="133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国家常规统计调查、部门统计调查、地方统计调查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调查对象依法设置原始记录、统计台</w:t>
            </w:r>
            <w:proofErr w:type="gramStart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账情况</w:t>
            </w:r>
            <w:proofErr w:type="gramEnd"/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检查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统计调查对象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统计局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场监管领域相关部门</w:t>
            </w:r>
          </w:p>
        </w:tc>
      </w:tr>
      <w:tr w:rsidR="00BD14EE" w:rsidTr="005840ED">
        <w:trPr>
          <w:trHeight w:val="4072"/>
          <w:jc w:val="center"/>
        </w:trPr>
        <w:tc>
          <w:tcPr>
            <w:tcW w:w="808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jc w:val="center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36</w:t>
            </w:r>
          </w:p>
        </w:tc>
        <w:tc>
          <w:tcPr>
            <w:tcW w:w="1769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雷电灾害防御工作</w:t>
            </w:r>
          </w:p>
        </w:tc>
        <w:tc>
          <w:tcPr>
            <w:tcW w:w="453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检查雷电防护装置安装运行状况、雷电防护安全隐患排查整改情况；检查雷电防护装置涉及审核、竣工验收、定期检测等情况；检查雷电防护安全管理、雷电防护装置设计核准意见书、验收意见书、雷电防护安全隐患排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查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整改记录、雷电防护装置检测报告、雷电防护安全教育培训、雷电防护安全档案等</w:t>
            </w:r>
          </w:p>
        </w:tc>
        <w:tc>
          <w:tcPr>
            <w:tcW w:w="229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防雷安全重点单位</w:t>
            </w:r>
          </w:p>
        </w:tc>
        <w:tc>
          <w:tcPr>
            <w:tcW w:w="2110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气象局</w:t>
            </w:r>
          </w:p>
        </w:tc>
        <w:tc>
          <w:tcPr>
            <w:tcW w:w="2505" w:type="dxa"/>
            <w:vAlign w:val="center"/>
          </w:tcPr>
          <w:p w:rsidR="00BD14EE" w:rsidRPr="00263824" w:rsidRDefault="00BD14EE" w:rsidP="005840ED">
            <w:pPr>
              <w:pStyle w:val="a4"/>
              <w:autoSpaceDE w:val="0"/>
              <w:autoSpaceDN w:val="0"/>
              <w:spacing w:before="2" w:line="400" w:lineRule="exact"/>
              <w:rPr>
                <w:rFonts w:ascii="方正仿宋简体" w:eastAsia="方正仿宋简体" w:hAnsi="方正仿宋简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应急局、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县工信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商务局、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县市</w:t>
            </w:r>
            <w:r w:rsidRPr="0026382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场监管局</w:t>
            </w:r>
          </w:p>
        </w:tc>
      </w:tr>
    </w:tbl>
    <w:p w:rsidR="000F6F18" w:rsidRPr="00BD14EE" w:rsidRDefault="000F6F18" w:rsidP="00BD14EE">
      <w:pPr>
        <w:pStyle w:val="a3"/>
        <w:ind w:firstLine="0"/>
      </w:pPr>
    </w:p>
    <w:sectPr w:rsidR="000F6F18" w:rsidRPr="00BD14EE" w:rsidSect="00BD14EE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DB" w:rsidRDefault="0011485B">
    <w:pPr>
      <w:pStyle w:val="a5"/>
      <w:ind w:right="360" w:firstLine="360"/>
      <w:rPr>
        <w:rFonts w:cs="Times New Roman"/>
      </w:rPr>
    </w:pPr>
    <w:r w:rsidRPr="001029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6pt;margin-top:-3.1pt;width:2in;height:2in;z-index:251660288;mso-wrap-style:none;mso-position-horizontal:right;mso-position-horizontal-relative:margin" filled="f" stroked="f" strokeweight=".5pt">
          <v:textbox style="mso-next-textbox:#_x0000_s2049;mso-fit-shape-to-text:t" inset="0,0,0,0">
            <w:txbxContent>
              <w:p w:rsidR="002B5EDB" w:rsidRDefault="0011485B">
                <w:pPr>
                  <w:pStyle w:val="a5"/>
                  <w:rPr>
                    <w:rStyle w:val="a6"/>
                    <w:rFonts w:ascii="方正仿宋简体" w:eastAsia="方正仿宋简体" w:hAnsi="宋体" w:cs="Times New Roman"/>
                    <w:sz w:val="28"/>
                    <w:szCs w:val="28"/>
                  </w:rPr>
                </w:pPr>
                <w:r>
                  <w:rPr>
                    <w:rStyle w:val="a6"/>
                    <w:rFonts w:ascii="方正仿宋简体" w:eastAsia="方正仿宋简体" w:hAnsi="宋体" w:cs="方正仿宋简体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方正仿宋简体" w:eastAsia="方正仿宋简体" w:hAnsi="宋体" w:cs="方正仿宋简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6"/>
                    <w:rFonts w:ascii="方正仿宋简体" w:eastAsia="方正仿宋简体" w:hAnsi="宋体" w:cs="方正仿宋简体"/>
                    <w:sz w:val="28"/>
                    <w:szCs w:val="28"/>
                  </w:rPr>
                  <w:fldChar w:fldCharType="separate"/>
                </w:r>
                <w:r w:rsidR="00BD14EE">
                  <w:rPr>
                    <w:rStyle w:val="a6"/>
                    <w:rFonts w:ascii="方正仿宋简体" w:eastAsia="方正仿宋简体" w:hAnsi="宋体" w:cs="方正仿宋简体"/>
                    <w:noProof/>
                    <w:sz w:val="28"/>
                    <w:szCs w:val="28"/>
                  </w:rPr>
                  <w:t>12</w:t>
                </w:r>
                <w:r>
                  <w:rPr>
                    <w:rStyle w:val="a6"/>
                    <w:rFonts w:ascii="方正仿宋简体" w:eastAsia="方正仿宋简体" w:hAnsi="宋体" w:cs="方正仿宋简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D14EE"/>
    <w:rsid w:val="000F6F18"/>
    <w:rsid w:val="0011485B"/>
    <w:rsid w:val="00BD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BD14EE"/>
    <w:pPr>
      <w:spacing w:before="44"/>
      <w:ind w:left="967" w:right="323" w:hanging="683"/>
      <w:outlineLvl w:val="0"/>
    </w:pPr>
    <w:rPr>
      <w:rFonts w:ascii="宋体" w:eastAsia="宋体" w:hAnsi="宋体" w:cs="宋体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BD14EE"/>
    <w:rPr>
      <w:rFonts w:ascii="宋体" w:eastAsia="宋体" w:hAnsi="宋体" w:cs="宋体"/>
      <w:sz w:val="42"/>
      <w:szCs w:val="42"/>
    </w:rPr>
  </w:style>
  <w:style w:type="paragraph" w:styleId="a3">
    <w:name w:val="Normal Indent"/>
    <w:basedOn w:val="a"/>
    <w:uiPriority w:val="99"/>
    <w:rsid w:val="00BD14EE"/>
    <w:pPr>
      <w:spacing w:line="240" w:lineRule="atLeast"/>
      <w:ind w:firstLine="420"/>
    </w:pPr>
    <w:rPr>
      <w:rFonts w:ascii="Verdana" w:eastAsia="仿宋_GB2312" w:hAnsi="Verdana" w:cs="Verdana"/>
      <w:sz w:val="32"/>
      <w:szCs w:val="32"/>
    </w:rPr>
  </w:style>
  <w:style w:type="paragraph" w:styleId="a4">
    <w:name w:val="Body Text"/>
    <w:basedOn w:val="a"/>
    <w:link w:val="Char"/>
    <w:uiPriority w:val="99"/>
    <w:rsid w:val="00BD14EE"/>
    <w:rPr>
      <w:rFonts w:ascii="宋体" w:eastAsia="宋体" w:hAnsi="宋体" w:cs="宋体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BD14EE"/>
    <w:rPr>
      <w:rFonts w:ascii="宋体" w:eastAsia="宋体" w:hAnsi="宋体" w:cs="宋体"/>
      <w:sz w:val="32"/>
      <w:szCs w:val="32"/>
    </w:rPr>
  </w:style>
  <w:style w:type="paragraph" w:styleId="a5">
    <w:name w:val="footer"/>
    <w:basedOn w:val="a"/>
    <w:link w:val="Char0"/>
    <w:uiPriority w:val="99"/>
    <w:rsid w:val="00BD14E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14EE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BD1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590</Words>
  <Characters>3366</Characters>
  <Application>Microsoft Office Word</Application>
  <DocSecurity>0</DocSecurity>
  <Lines>28</Lines>
  <Paragraphs>7</Paragraphs>
  <ScaleCrop>false</ScaleCrop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2023-03-24T07:20:00Z</dcterms:created>
  <dcterms:modified xsi:type="dcterms:W3CDTF">2023-03-24T07:22:00Z</dcterms:modified>
</cp:coreProperties>
</file>